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F7AD" w14:textId="77777777" w:rsidR="00760BE5" w:rsidRPr="00304575" w:rsidRDefault="00760BE5" w:rsidP="00286B99">
      <w:pPr>
        <w:rPr>
          <w:b/>
          <w:bCs/>
          <w:sz w:val="24"/>
          <w:szCs w:val="24"/>
        </w:rPr>
      </w:pPr>
    </w:p>
    <w:tbl>
      <w:tblPr>
        <w:tblStyle w:val="Tabelacomgrade"/>
        <w:tblW w:w="1573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  <w:gridCol w:w="5532"/>
      </w:tblGrid>
      <w:tr w:rsidR="00760BE5" w:rsidRPr="00F77AE4" w14:paraId="09B9DA85" w14:textId="77777777" w:rsidTr="00DA26FF">
        <w:trPr>
          <w:trHeight w:hRule="exact" w:val="340"/>
        </w:trPr>
        <w:tc>
          <w:tcPr>
            <w:tcW w:w="15739" w:type="dxa"/>
            <w:gridSpan w:val="3"/>
          </w:tcPr>
          <w:p w14:paraId="27C686DC" w14:textId="77777777" w:rsidR="00760BE5" w:rsidRDefault="00760BE5" w:rsidP="002E4545">
            <w:pPr>
              <w:autoSpaceDE w:val="0"/>
              <w:autoSpaceDN w:val="0"/>
              <w:adjustRightInd w:val="0"/>
              <w:jc w:val="center"/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  <w:t>QUADRO PADRONIZADO PARA APRESENTAÇÃO DE SUGESTÕES E COMENTÁRIOS</w:t>
            </w:r>
          </w:p>
          <w:p w14:paraId="063065B1" w14:textId="77777777"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60BE5" w:rsidRPr="00F77AE4" w14:paraId="508F4D7C" w14:textId="77777777" w:rsidTr="00DA26FF">
        <w:trPr>
          <w:trHeight w:hRule="exact" w:val="567"/>
        </w:trPr>
        <w:tc>
          <w:tcPr>
            <w:tcW w:w="15739" w:type="dxa"/>
            <w:gridSpan w:val="3"/>
            <w:vAlign w:val="center"/>
          </w:tcPr>
          <w:p w14:paraId="3A00E207" w14:textId="77777777" w:rsidR="00760BE5" w:rsidRDefault="00760BE5" w:rsidP="002E454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Remetente:</w:t>
            </w:r>
          </w:p>
          <w:p w14:paraId="4EEC0BD8" w14:textId="77777777" w:rsidR="00760BE5" w:rsidRDefault="00760BE5" w:rsidP="002E454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Signatário:</w:t>
            </w:r>
          </w:p>
        </w:tc>
      </w:tr>
      <w:tr w:rsidR="00F53CE3" w:rsidRPr="00F77AE4" w14:paraId="27DA446B" w14:textId="77777777" w:rsidTr="00DA26FF">
        <w:trPr>
          <w:trHeight w:hRule="exact" w:val="284"/>
        </w:trPr>
        <w:tc>
          <w:tcPr>
            <w:tcW w:w="5104" w:type="dxa"/>
          </w:tcPr>
          <w:p w14:paraId="249C7D18" w14:textId="77777777" w:rsidR="00760BE5" w:rsidRPr="005D2D98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MINUTA</w:t>
            </w:r>
          </w:p>
        </w:tc>
        <w:tc>
          <w:tcPr>
            <w:tcW w:w="5103" w:type="dxa"/>
          </w:tcPr>
          <w:p w14:paraId="2277BC8A" w14:textId="77777777"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SUGESTÕES</w:t>
            </w:r>
          </w:p>
        </w:tc>
        <w:tc>
          <w:tcPr>
            <w:tcW w:w="5532" w:type="dxa"/>
          </w:tcPr>
          <w:p w14:paraId="6688C429" w14:textId="77777777"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JUSTIFICATIVAS</w:t>
            </w:r>
          </w:p>
        </w:tc>
      </w:tr>
      <w:tr w:rsidR="00F53CE3" w:rsidRPr="00F77AE4" w14:paraId="65AAC922" w14:textId="77777777" w:rsidTr="00DA26FF">
        <w:trPr>
          <w:trHeight w:val="862"/>
        </w:trPr>
        <w:tc>
          <w:tcPr>
            <w:tcW w:w="5104" w:type="dxa"/>
          </w:tcPr>
          <w:p w14:paraId="7B7F8972" w14:textId="5C6108A9" w:rsidR="00A9379E" w:rsidRPr="005D2D98" w:rsidRDefault="00481601" w:rsidP="0048160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RESOLUÇÃO CNSP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N.º</w:t>
            </w:r>
            <w:r w:rsidR="00760BE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___, 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 </w:t>
            </w:r>
            <w:r w:rsidR="00760BE5">
              <w:rPr>
                <w:rFonts w:asciiTheme="minorHAnsi" w:hAnsiTheme="minorHAnsi"/>
                <w:b/>
                <w:bCs/>
                <w:sz w:val="24"/>
                <w:szCs w:val="24"/>
              </w:rPr>
              <w:t>____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6C8CCAD" w14:textId="77777777"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40610933" w14:textId="77777777"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53CE3" w:rsidRPr="00F77AE4" w14:paraId="3E7967EE" w14:textId="77777777" w:rsidTr="00DA26FF">
        <w:trPr>
          <w:trHeight w:val="2098"/>
        </w:trPr>
        <w:tc>
          <w:tcPr>
            <w:tcW w:w="5104" w:type="dxa"/>
          </w:tcPr>
          <w:p w14:paraId="63F314DC" w14:textId="3DE1C969" w:rsidR="00E8758F" w:rsidRPr="00481601" w:rsidRDefault="00481601" w:rsidP="00D171E2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81601">
              <w:rPr>
                <w:rFonts w:ascii="Calibri" w:hAnsi="Calibri"/>
                <w:i/>
                <w:color w:val="000000"/>
                <w:sz w:val="22"/>
                <w:szCs w:val="22"/>
              </w:rPr>
              <w:t>Altera a Resolução CNSP nº 321, de 15 de julho de 2015.</w:t>
            </w:r>
          </w:p>
        </w:tc>
        <w:tc>
          <w:tcPr>
            <w:tcW w:w="5103" w:type="dxa"/>
          </w:tcPr>
          <w:p w14:paraId="7F743142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27929C0D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3CE3" w:rsidRPr="00F77AE4" w14:paraId="1B86E859" w14:textId="77777777" w:rsidTr="00DA26FF">
        <w:trPr>
          <w:trHeight w:val="2098"/>
        </w:trPr>
        <w:tc>
          <w:tcPr>
            <w:tcW w:w="5104" w:type="dxa"/>
          </w:tcPr>
          <w:p w14:paraId="7C0C8077" w14:textId="77777777" w:rsidR="00E8758F" w:rsidRDefault="00481601" w:rsidP="00D171E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SUPERINTENDÊNCIA DE SEGUROS PRIVADOS -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 SUSEP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no uso da atribuição que lhe confere  o art.34, inciso XI, do anexo ao Decreto n.º 60.459, de 13 de março de 1967, torna público que o 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CONSELHO NACIONAL DE SEGUROS PRIVADOS - CNSP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em sessão ........................................................... realizada em .........................., tendo em vista o disposto no disposto no art. 32, inciso I, II, III e XI e no art. 84 do Decreto-Lei n.º 73, de 21 de novembro de 1966, nos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3º, incisos III e V; 37, e 74 da Lei Complementar n.º 109, de 29 de maio de 2001, no art. 3.º, § 1.º e no art. 4.º do Decreto-Lei n.º 261, de 28 de fevereiro de 1967, na Lei Complementar n.º 126, de 15 de janeiro de 2007, e considerando o que consta do Processo Susep nº 15414.631108/2019-72,</w:t>
            </w:r>
          </w:p>
          <w:p w14:paraId="5294DAB2" w14:textId="18F4A28B" w:rsidR="00481601" w:rsidRDefault="00481601" w:rsidP="00D171E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396B236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373F8966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3CE3" w:rsidRPr="00F77AE4" w14:paraId="6FA9CFDE" w14:textId="77777777" w:rsidTr="00DA26FF">
        <w:trPr>
          <w:trHeight w:val="2098"/>
        </w:trPr>
        <w:tc>
          <w:tcPr>
            <w:tcW w:w="5104" w:type="dxa"/>
          </w:tcPr>
          <w:p w14:paraId="218C4D17" w14:textId="21CFEB01" w:rsidR="00E8758F" w:rsidRDefault="00481601" w:rsidP="00D171E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pacing w:val="44"/>
                <w:sz w:val="22"/>
                <w:szCs w:val="22"/>
              </w:rPr>
              <w:t>RESOLVE:</w:t>
            </w:r>
          </w:p>
        </w:tc>
        <w:tc>
          <w:tcPr>
            <w:tcW w:w="5103" w:type="dxa"/>
          </w:tcPr>
          <w:p w14:paraId="1E762C05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838C4A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3CE3" w:rsidRPr="00F00C2C" w14:paraId="7F223026" w14:textId="77777777" w:rsidTr="00DA26FF">
        <w:trPr>
          <w:trHeight w:val="2098"/>
        </w:trPr>
        <w:tc>
          <w:tcPr>
            <w:tcW w:w="5104" w:type="dxa"/>
          </w:tcPr>
          <w:p w14:paraId="6F6B5258" w14:textId="481E8551" w:rsidR="00E8758F" w:rsidRDefault="00D171E2" w:rsidP="004F381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Art. 1º</w:t>
            </w:r>
            <w:r w:rsidR="00200A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81601">
              <w:rPr>
                <w:rFonts w:ascii="Calibri" w:hAnsi="Calibri"/>
                <w:color w:val="000000"/>
                <w:sz w:val="22"/>
                <w:szCs w:val="22"/>
              </w:rPr>
              <w:t>A Resolução CNSP nº 321, de 15 de dezembro de 2015, passa a vigorar com as seguintes alterações:</w:t>
            </w:r>
          </w:p>
        </w:tc>
        <w:tc>
          <w:tcPr>
            <w:tcW w:w="5103" w:type="dxa"/>
          </w:tcPr>
          <w:p w14:paraId="0342DCCE" w14:textId="77777777" w:rsidR="00E8758F" w:rsidRPr="00F00C2C" w:rsidRDefault="00E8758F" w:rsidP="00E8758F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2" w:type="dxa"/>
          </w:tcPr>
          <w:p w14:paraId="371D6E6E" w14:textId="77777777" w:rsidR="00E8758F" w:rsidRPr="00F00C2C" w:rsidRDefault="00E8758F" w:rsidP="00E8758F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F53CE3" w:rsidRPr="00481601" w14:paraId="36A16B27" w14:textId="77777777" w:rsidTr="00DA26FF">
        <w:trPr>
          <w:trHeight w:val="2098"/>
        </w:trPr>
        <w:tc>
          <w:tcPr>
            <w:tcW w:w="5104" w:type="dxa"/>
          </w:tcPr>
          <w:p w14:paraId="00FC618B" w14:textId="3175D524" w:rsidR="00481601" w:rsidRPr="00481601" w:rsidRDefault="00481601" w:rsidP="004816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1601">
              <w:rPr>
                <w:rFonts w:ascii="Calibri" w:hAnsi="Calibri" w:cs="Calibri"/>
                <w:sz w:val="22"/>
                <w:szCs w:val="22"/>
              </w:rPr>
              <w:t>"Art. 35-B.</w:t>
            </w:r>
            <w:r w:rsidR="00200A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1601">
              <w:rPr>
                <w:rFonts w:ascii="Calibri" w:hAnsi="Calibri" w:cs="Calibri"/>
                <w:sz w:val="22"/>
                <w:szCs w:val="22"/>
              </w:rPr>
              <w:t>A SUSEP poderá definir modelos simplificados de cálculo de capital baseado em risco para serem utilizados por supervisionadas enquadradas no segmento S4 em substituição aos modelos de cálculo estabelecidos nesta resolução.</w:t>
            </w:r>
          </w:p>
          <w:p w14:paraId="6D36BBC1" w14:textId="77777777" w:rsidR="00481601" w:rsidRPr="00481601" w:rsidRDefault="00481601" w:rsidP="004816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36E33B" w14:textId="77777777" w:rsidR="00E8758F" w:rsidRDefault="00481601" w:rsidP="004816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1601">
              <w:rPr>
                <w:rFonts w:ascii="Calibri" w:hAnsi="Calibri" w:cs="Calibri"/>
                <w:sz w:val="22"/>
                <w:szCs w:val="22"/>
              </w:rPr>
              <w:t>Parágrafo único. A Susep poderá definir as parcelas do capital de risco para as quais as supervisionadas citadas no caput poderão utilizar modelo simplificado de cálculo." (NR)</w:t>
            </w:r>
          </w:p>
          <w:p w14:paraId="5D9E2FDE" w14:textId="67CDC609" w:rsidR="00B24BFE" w:rsidRPr="00481601" w:rsidRDefault="00B24BFE" w:rsidP="00481601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89F407A" w14:textId="77777777" w:rsidR="00E8758F" w:rsidRPr="00481601" w:rsidRDefault="00E8758F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0794038" w14:textId="77777777" w:rsidR="00E8758F" w:rsidRPr="00481601" w:rsidRDefault="00E8758F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3CE3" w:rsidRPr="00481601" w14:paraId="65BB8C58" w14:textId="77777777" w:rsidTr="00DA26FF">
        <w:trPr>
          <w:trHeight w:val="2098"/>
        </w:trPr>
        <w:tc>
          <w:tcPr>
            <w:tcW w:w="5104" w:type="dxa"/>
          </w:tcPr>
          <w:p w14:paraId="75A0AF7D" w14:textId="2EFF5061" w:rsid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"Art.</w:t>
            </w:r>
            <w:r w:rsidR="00D104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A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64.</w:t>
            </w:r>
            <w:r w:rsidR="004F38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C6797">
              <w:rPr>
                <w:rFonts w:ascii="Calibri" w:hAnsi="Calibri" w:cs="Calibri"/>
                <w:sz w:val="22"/>
                <w:szCs w:val="22"/>
              </w:rPr>
              <w:t>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</w:t>
            </w:r>
            <w:r w:rsidRPr="009C6797">
              <w:rPr>
                <w:rFonts w:ascii="Calibri" w:hAnsi="Calibri" w:cs="Calibri"/>
                <w:sz w:val="22"/>
                <w:szCs w:val="22"/>
              </w:rPr>
              <w:t>..............</w:t>
            </w:r>
          </w:p>
          <w:p w14:paraId="30793AC2" w14:textId="77777777" w:rsidR="009C6797" w:rsidRP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B81670" w14:textId="77777777" w:rsidR="00E8758F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6797">
              <w:rPr>
                <w:rFonts w:ascii="Calibri" w:hAnsi="Calibri" w:cs="Calibri"/>
                <w:sz w:val="22"/>
                <w:szCs w:val="22"/>
              </w:rPr>
              <w:t>§11. As supervisionadas enquadradas no segmento S4 não poderão processar os ajustes requeridos nas alíneas “b” a “d” do inciso II deste artigo." (NR)</w:t>
            </w:r>
          </w:p>
          <w:p w14:paraId="69988398" w14:textId="35CFF121" w:rsidR="00B24BFE" w:rsidRPr="009C6797" w:rsidRDefault="00B24BFE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AFD428D" w14:textId="77777777" w:rsidR="00E8758F" w:rsidRPr="00481601" w:rsidRDefault="00E8758F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0EED705" w14:textId="77777777" w:rsidR="00E8758F" w:rsidRPr="00481601" w:rsidRDefault="00E8758F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10AF4A7D" w14:textId="77777777" w:rsidTr="00DA26FF">
        <w:trPr>
          <w:trHeight w:val="2098"/>
        </w:trPr>
        <w:tc>
          <w:tcPr>
            <w:tcW w:w="5104" w:type="dxa"/>
          </w:tcPr>
          <w:p w14:paraId="64CD86D6" w14:textId="7173C5D4" w:rsid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"Art.65</w:t>
            </w:r>
            <w:r w:rsidR="004F381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C6797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</w:t>
            </w:r>
            <w:r w:rsidR="00B27FFE">
              <w:rPr>
                <w:rFonts w:ascii="Calibri" w:hAnsi="Calibri" w:cs="Calibri"/>
                <w:sz w:val="22"/>
                <w:szCs w:val="22"/>
              </w:rPr>
              <w:t>........</w:t>
            </w:r>
          </w:p>
          <w:p w14:paraId="7EDFDFCE" w14:textId="77777777" w:rsidR="004849C6" w:rsidRDefault="004849C6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BAB1B5" w14:textId="77777777" w:rsidR="009C6797" w:rsidRP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6797">
              <w:rPr>
                <w:rFonts w:ascii="Calibri" w:hAnsi="Calibri" w:cs="Calibri"/>
                <w:sz w:val="22"/>
                <w:szCs w:val="22"/>
              </w:rPr>
              <w:t xml:space="preserve">I – </w:t>
            </w:r>
            <w:proofErr w:type="gramStart"/>
            <w:r w:rsidRPr="009C6797">
              <w:rPr>
                <w:rFonts w:ascii="Calibri" w:hAnsi="Calibri" w:cs="Calibri"/>
                <w:sz w:val="22"/>
                <w:szCs w:val="22"/>
              </w:rPr>
              <w:t>capital</w:t>
            </w:r>
            <w:proofErr w:type="gramEnd"/>
            <w:r w:rsidRPr="009C6797">
              <w:rPr>
                <w:rFonts w:ascii="Calibri" w:hAnsi="Calibri" w:cs="Calibri"/>
                <w:sz w:val="22"/>
                <w:szCs w:val="22"/>
              </w:rPr>
              <w:t xml:space="preserve"> base: montante fixo de capital que a supervisionada deverá manter, a qualquer tempo, conforme disposto nos anexos XXIII a XXV;</w:t>
            </w:r>
          </w:p>
          <w:p w14:paraId="04405129" w14:textId="77777777" w:rsidR="009C6797" w:rsidRP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654A8" w14:textId="31145DE8" w:rsidR="009C6797" w:rsidRP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6797">
              <w:rPr>
                <w:rFonts w:ascii="Calibri" w:hAnsi="Calibri" w:cs="Calibri"/>
                <w:sz w:val="22"/>
                <w:szCs w:val="22"/>
              </w:rPr>
              <w:t xml:space="preserve">................................................................ </w:t>
            </w:r>
          </w:p>
          <w:p w14:paraId="009A84CE" w14:textId="77777777" w:rsidR="009C6797" w:rsidRP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584264" w14:textId="42E58929" w:rsid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6797">
              <w:rPr>
                <w:rFonts w:ascii="Calibri" w:hAnsi="Calibri" w:cs="Calibri"/>
                <w:sz w:val="22"/>
                <w:szCs w:val="22"/>
              </w:rPr>
              <w:t>Parágrafo único. A Susep poderá exigir capital social superior ao capital mínimo requerido para autorizar a constituição e o funcionamento da supervisionada, em função de análise técnica de suas projeções financeiras." (NR)</w:t>
            </w:r>
          </w:p>
        </w:tc>
        <w:tc>
          <w:tcPr>
            <w:tcW w:w="5103" w:type="dxa"/>
          </w:tcPr>
          <w:p w14:paraId="44F7C082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FA10E52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5F87797B" w14:textId="77777777" w:rsidTr="00DA26FF">
        <w:trPr>
          <w:trHeight w:val="2098"/>
        </w:trPr>
        <w:tc>
          <w:tcPr>
            <w:tcW w:w="5104" w:type="dxa"/>
          </w:tcPr>
          <w:p w14:paraId="4793C283" w14:textId="76DCE826" w:rsidR="00B27FFE" w:rsidRDefault="00B27FFE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7FF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"Art. </w:t>
            </w:r>
            <w:r w:rsidR="001126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27FFE">
              <w:rPr>
                <w:rFonts w:ascii="Calibri" w:hAnsi="Calibri" w:cs="Calibri"/>
                <w:sz w:val="22"/>
                <w:szCs w:val="22"/>
              </w:rPr>
              <w:t>111. ....................................................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</w:t>
            </w:r>
          </w:p>
          <w:p w14:paraId="66283F61" w14:textId="77777777" w:rsidR="004849C6" w:rsidRDefault="004849C6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4A81CE" w14:textId="77777777" w:rsidR="00B27FFE" w:rsidRPr="00B27FFE" w:rsidRDefault="00B27FFE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7FFE">
              <w:rPr>
                <w:rFonts w:ascii="Calibri" w:hAnsi="Calibri" w:cs="Calibri"/>
                <w:sz w:val="22"/>
                <w:szCs w:val="22"/>
              </w:rPr>
              <w:t>III - a conformidade dos dados, premissas e procedimentos utilizados na aplicação dos modelos internos aprovados pela Susep e desenvolvidos para determinação da necessidade de capital, quando cabível;" (NR)</w:t>
            </w:r>
          </w:p>
          <w:p w14:paraId="1E6281EF" w14:textId="77777777" w:rsidR="00B27FFE" w:rsidRPr="00B27FFE" w:rsidRDefault="00B27FFE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BC7F5F" w14:textId="227113B5" w:rsidR="00B27FFE" w:rsidRDefault="00B27FFE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7FF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</w:t>
            </w:r>
            <w:r w:rsidR="00B24BFE">
              <w:rPr>
                <w:rFonts w:ascii="Calibri" w:hAnsi="Calibri" w:cs="Calibri"/>
                <w:sz w:val="22"/>
                <w:szCs w:val="22"/>
              </w:rPr>
              <w:t>..............</w:t>
            </w:r>
          </w:p>
          <w:p w14:paraId="0555CC85" w14:textId="77777777" w:rsidR="00B27FFE" w:rsidRPr="00B27FFE" w:rsidRDefault="00B27FFE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8F6C2A" w14:textId="77777777" w:rsid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355902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5A46A1C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313B8318" w14:textId="77777777" w:rsidTr="00DA26FF">
        <w:trPr>
          <w:trHeight w:val="2098"/>
        </w:trPr>
        <w:tc>
          <w:tcPr>
            <w:tcW w:w="5104" w:type="dxa"/>
          </w:tcPr>
          <w:p w14:paraId="5815987E" w14:textId="6CA5CC40" w:rsidR="00B27FFE" w:rsidRPr="00B27FFE" w:rsidRDefault="0011261B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"Art. </w:t>
            </w:r>
            <w:r w:rsidR="00B27FFE" w:rsidRPr="00B27FFE">
              <w:rPr>
                <w:rFonts w:ascii="Calibri" w:hAnsi="Calibri" w:cs="Calibri"/>
                <w:sz w:val="22"/>
                <w:szCs w:val="22"/>
              </w:rPr>
              <w:t>129.</w:t>
            </w:r>
            <w:r w:rsidR="00200A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7FFE" w:rsidRPr="00B27FFE">
              <w:rPr>
                <w:rFonts w:ascii="Calibri" w:hAnsi="Calibri" w:cs="Calibri"/>
                <w:sz w:val="22"/>
                <w:szCs w:val="22"/>
              </w:rPr>
              <w:t>As supervisionadas enquadradas nos segmentos S1 e S2 deverão constituir órgão estatutário denominado “Comitê de Auditoria”. (NR)</w:t>
            </w:r>
          </w:p>
          <w:p w14:paraId="2ED011BE" w14:textId="34E9FB4E" w:rsidR="00B27FFE" w:rsidRPr="00B27FFE" w:rsidRDefault="00B27FFE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27FFE">
              <w:rPr>
                <w:rFonts w:ascii="Calibri" w:hAnsi="Calibri" w:cs="Calibri"/>
                <w:sz w:val="22"/>
                <w:szCs w:val="22"/>
              </w:rPr>
              <w:t>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</w:t>
            </w:r>
            <w:r w:rsidRPr="00B27FFE">
              <w:rPr>
                <w:rFonts w:ascii="Calibri" w:hAnsi="Calibri" w:cs="Calibri"/>
                <w:sz w:val="22"/>
                <w:szCs w:val="22"/>
              </w:rPr>
              <w:t>.............................</w:t>
            </w:r>
            <w:r w:rsidR="00B24BFE">
              <w:rPr>
                <w:rFonts w:ascii="Calibri" w:hAnsi="Calibri" w:cs="Calibri"/>
                <w:sz w:val="22"/>
                <w:szCs w:val="22"/>
              </w:rPr>
              <w:t>..............................</w:t>
            </w:r>
            <w:r w:rsidRPr="00B27FF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F456855" w14:textId="77777777" w:rsidR="00B27FFE" w:rsidRPr="00B27FFE" w:rsidRDefault="00B27FFE" w:rsidP="00B27F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DED0EA" w14:textId="77777777" w:rsidR="009C6797" w:rsidRDefault="009C6797" w:rsidP="009C67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4016F50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617FC6C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7140CDAD" w14:textId="77777777" w:rsidTr="00DA26FF">
        <w:trPr>
          <w:trHeight w:val="2098"/>
        </w:trPr>
        <w:tc>
          <w:tcPr>
            <w:tcW w:w="5104" w:type="dxa"/>
          </w:tcPr>
          <w:p w14:paraId="04F0DC98" w14:textId="5A4E50EF" w:rsidR="0011261B" w:rsidRPr="0011261B" w:rsidRDefault="006457D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"Art.140</w:t>
            </w:r>
            <w:r w:rsidR="004F381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1261B">
              <w:rPr>
                <w:rFonts w:ascii="Calibri" w:hAnsi="Calibri" w:cs="Calibri"/>
                <w:sz w:val="22"/>
                <w:szCs w:val="22"/>
              </w:rPr>
              <w:t>......................</w:t>
            </w:r>
            <w:r w:rsidR="0011261B" w:rsidRPr="0011261B">
              <w:rPr>
                <w:rFonts w:ascii="Calibri" w:hAnsi="Calibri" w:cs="Calibri"/>
                <w:sz w:val="22"/>
                <w:szCs w:val="22"/>
              </w:rPr>
              <w:t xml:space="preserve">.................................................. </w:t>
            </w:r>
          </w:p>
          <w:p w14:paraId="274B77C8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17E848" w14:textId="77777777" w:rsidR="009C6797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>Parágrafo único. As supervisionadas enquadradas nos segmentos S3 e S4 estão dispensadas de produzir e enviar à SUSEP os relatórios e outros documentos, relativos às demonstrações financeiras de 30 de junho, contidos nos incisos I, II e III do art. 139." (NR)</w:t>
            </w:r>
          </w:p>
          <w:p w14:paraId="3E809276" w14:textId="153EEEDA" w:rsidR="00B24BFE" w:rsidRDefault="00B24BFE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57F9866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B067198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07C72640" w14:textId="77777777" w:rsidTr="00DA26FF">
        <w:trPr>
          <w:trHeight w:val="2098"/>
        </w:trPr>
        <w:tc>
          <w:tcPr>
            <w:tcW w:w="5104" w:type="dxa"/>
          </w:tcPr>
          <w:p w14:paraId="6AFD84CA" w14:textId="2CC56775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 xml:space="preserve">"Art. 141. </w:t>
            </w:r>
            <w:r w:rsidR="00200A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261B">
              <w:rPr>
                <w:rFonts w:ascii="Calibri" w:hAnsi="Calibri" w:cs="Calibri"/>
                <w:sz w:val="22"/>
                <w:szCs w:val="22"/>
              </w:rPr>
              <w:t>Os Questionários Prudenciais, definidos pela Susep, deverão ser avaliados pelo auditor contábil independente, sendo as supervisionadas obrigadas a remeter à Autarquia os respectivos relatórios de auditoria contábil nos prazos a seguir especificados:</w:t>
            </w:r>
          </w:p>
          <w:p w14:paraId="1ADC2821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FC3F73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>a) questionário do 1° semestre: até 30 de setembro do mesmo exercício;</w:t>
            </w:r>
          </w:p>
          <w:p w14:paraId="0A1AE0DE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316011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>b) questionário do 2° semestre: até 31 de março do exercício seguinte.</w:t>
            </w:r>
          </w:p>
          <w:p w14:paraId="353F4797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AA3668" w14:textId="756355CF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>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</w:t>
            </w:r>
            <w:r w:rsidRPr="0011261B">
              <w:rPr>
                <w:rFonts w:ascii="Calibri" w:hAnsi="Calibri" w:cs="Calibri"/>
                <w:sz w:val="22"/>
                <w:szCs w:val="22"/>
              </w:rPr>
              <w:t>...........................</w:t>
            </w:r>
          </w:p>
          <w:p w14:paraId="37F629B8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AB4DEF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lastRenderedPageBreak/>
              <w:t>§ 2º Os resseguradores locais deverão remeter o relatório do auditor contábil independente referente ao Questionário Prudencial até o dia 30 do mês subsequente àqueles estabelecidos neste artigo.</w:t>
            </w:r>
          </w:p>
          <w:p w14:paraId="3BD9BEB7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A5AD77" w14:textId="77777777" w:rsidR="009C6797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>§ 3º As supervisionadas enquadradas nos segmentos S3 e S4, conforme regulamentação do CNSP, estão isentas dos requerimentos relativos ao Questionário Prudencial do 1º semestre." (NR)</w:t>
            </w:r>
          </w:p>
          <w:p w14:paraId="2C4031C1" w14:textId="2B7633BF" w:rsid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5C18EFB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D97132A" w14:textId="77777777" w:rsidR="009C6797" w:rsidRPr="00481601" w:rsidRDefault="009C6797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4CD056F3" w14:textId="77777777" w:rsidTr="00DA26FF">
        <w:trPr>
          <w:trHeight w:val="2098"/>
        </w:trPr>
        <w:tc>
          <w:tcPr>
            <w:tcW w:w="5104" w:type="dxa"/>
          </w:tcPr>
          <w:p w14:paraId="4A063088" w14:textId="5312D023" w:rsidR="0011261B" w:rsidRPr="0011261B" w:rsidRDefault="008C48F6" w:rsidP="00200A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Art. 2</w:t>
            </w:r>
            <w:r w:rsidR="0011261B">
              <w:rPr>
                <w:rFonts w:ascii="Calibri" w:hAnsi="Calibri" w:cs="Calibri"/>
                <w:color w:val="000000"/>
                <w:sz w:val="22"/>
                <w:szCs w:val="22"/>
              </w:rPr>
              <w:t>º</w:t>
            </w:r>
            <w:r w:rsidR="00200A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1261B" w:rsidRPr="0011261B">
              <w:rPr>
                <w:rFonts w:ascii="Calibri" w:hAnsi="Calibri" w:cs="Calibri"/>
                <w:sz w:val="22"/>
                <w:szCs w:val="22"/>
              </w:rPr>
              <w:t>O anexo IX da Resolução CNSP nº 321, de 15 de dezembro de 2015, passa a vigorar com as seguintes alterações:</w:t>
            </w:r>
          </w:p>
        </w:tc>
        <w:tc>
          <w:tcPr>
            <w:tcW w:w="5103" w:type="dxa"/>
          </w:tcPr>
          <w:p w14:paraId="6A80AD91" w14:textId="77777777" w:rsidR="0011261B" w:rsidRPr="00481601" w:rsidRDefault="0011261B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8F7D8C" w14:textId="77777777" w:rsidR="0011261B" w:rsidRPr="00481601" w:rsidRDefault="0011261B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4B73CBEA" w14:textId="77777777" w:rsidTr="00DA26FF">
        <w:trPr>
          <w:trHeight w:val="2098"/>
        </w:trPr>
        <w:tc>
          <w:tcPr>
            <w:tcW w:w="5104" w:type="dxa"/>
          </w:tcPr>
          <w:p w14:paraId="026438E0" w14:textId="645C56E5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>"Art.</w:t>
            </w:r>
            <w:r w:rsidR="00614C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261B">
              <w:rPr>
                <w:rFonts w:ascii="Calibri" w:hAnsi="Calibri" w:cs="Calibri"/>
                <w:sz w:val="22"/>
                <w:szCs w:val="22"/>
              </w:rPr>
              <w:t>1º 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 w:rsidRPr="0011261B">
              <w:rPr>
                <w:rFonts w:ascii="Calibri" w:hAnsi="Calibri" w:cs="Calibri"/>
                <w:sz w:val="22"/>
                <w:szCs w:val="22"/>
              </w:rPr>
              <w:t>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</w:t>
            </w:r>
          </w:p>
          <w:p w14:paraId="014CAFA8" w14:textId="77777777" w:rsidR="0011261B" w:rsidRP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6D63B8" w14:textId="77777777" w:rsid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>III – modalidade/tipo de plano de capitalização: conjunto de planos de capitalização de uma mesma modalidade e tipo, conforme a classificação apresentada na Tabela 1 deste anexo." (NR)</w:t>
            </w:r>
          </w:p>
          <w:p w14:paraId="3A978267" w14:textId="77777777" w:rsidR="00D75B60" w:rsidRPr="0011261B" w:rsidRDefault="00D75B60" w:rsidP="00D75B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61B">
              <w:rPr>
                <w:rFonts w:ascii="Calibri" w:hAnsi="Calibri" w:cs="Calibri"/>
                <w:sz w:val="22"/>
                <w:szCs w:val="22"/>
              </w:rPr>
              <w:t>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</w:t>
            </w:r>
            <w:r w:rsidRPr="0011261B">
              <w:rPr>
                <w:rFonts w:ascii="Calibri" w:hAnsi="Calibri" w:cs="Calibri"/>
                <w:sz w:val="22"/>
                <w:szCs w:val="22"/>
              </w:rPr>
              <w:t>.............................................</w:t>
            </w:r>
          </w:p>
          <w:p w14:paraId="30CAF5EE" w14:textId="75FB65B8" w:rsidR="00D75B60" w:rsidRPr="0011261B" w:rsidRDefault="00D75B60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5496EF8" w14:textId="77777777" w:rsidR="0011261B" w:rsidRPr="00481601" w:rsidRDefault="0011261B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D331330" w14:textId="77777777" w:rsidR="0011261B" w:rsidRPr="00481601" w:rsidRDefault="0011261B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6901E939" w14:textId="77777777" w:rsidTr="00DA26FF">
        <w:trPr>
          <w:trHeight w:val="2098"/>
        </w:trPr>
        <w:tc>
          <w:tcPr>
            <w:tcW w:w="5104" w:type="dxa"/>
          </w:tcPr>
          <w:p w14:paraId="7F3ADC3D" w14:textId="314CA4D5" w:rsidR="0011261B" w:rsidRDefault="000D553D" w:rsidP="0011261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3CE3">
              <w:rPr>
                <w:rFonts w:asciiTheme="minorHAnsi" w:hAnsiTheme="minorHAnsi"/>
                <w:color w:val="000000"/>
                <w:sz w:val="22"/>
                <w:szCs w:val="22"/>
              </w:rPr>
              <w:t>"Art.</w:t>
            </w:r>
            <w:r w:rsidR="00614C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53CE3">
              <w:rPr>
                <w:rFonts w:asciiTheme="minorHAnsi" w:hAnsiTheme="minorHAnsi"/>
                <w:color w:val="000000"/>
                <w:sz w:val="22"/>
                <w:szCs w:val="22"/>
              </w:rPr>
              <w:t>3º  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NSR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</m:oMath>
            <w:r w:rsidR="008F68E4" w:rsidRPr="00F53CE3">
              <w:rPr>
                <w:rFonts w:asciiTheme="minorHAnsi" w:hAnsiTheme="minorHAnsi"/>
                <w:sz w:val="22"/>
                <w:szCs w:val="22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</m:oMath>
            <w:r w:rsidR="008F68E4" w:rsidRPr="00F53CE3">
              <w:rPr>
                <w:rFonts w:asciiTheme="minorHAnsi" w:hAnsiTheme="minorHAnsi"/>
                <w:sz w:val="22"/>
                <w:szCs w:val="22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μ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</m:oMath>
            <w:r w:rsidR="008F68E4" w:rsidRPr="00F53CE3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σ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</m:oMath>
            <w:r w:rsidRPr="00F53CE3">
              <w:rPr>
                <w:rFonts w:asciiTheme="minorHAnsi" w:hAnsiTheme="minorHAnsi"/>
                <w:color w:val="000000"/>
                <w:sz w:val="22"/>
                <w:szCs w:val="22"/>
              </w:rPr>
              <w:t> deverão ser calculados com base nos critérios e fórmulas dispostos no anexo XII.</w:t>
            </w:r>
          </w:p>
          <w:p w14:paraId="3D84664D" w14:textId="77777777" w:rsidR="00F53CE3" w:rsidRDefault="00F53CE3" w:rsidP="0011261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1DFA056" w14:textId="77777777" w:rsidR="00F53CE3" w:rsidRPr="00430215" w:rsidRDefault="00F53CE3" w:rsidP="00F53CE3">
            <w:pPr>
              <w:spacing w:before="120" w:after="120"/>
              <w:ind w:left="120" w:right="120" w:firstLine="22"/>
              <w:jc w:val="center"/>
              <w:rPr>
                <w:rFonts w:ascii="Calibri" w:hAnsi="Calibri"/>
                <w:b/>
                <w:iCs/>
              </w:rPr>
            </w:pPr>
            <w:r w:rsidRPr="00430215">
              <w:rPr>
                <w:rFonts w:ascii="Calibri" w:hAnsi="Calibri"/>
                <w:b/>
                <w:iCs/>
              </w:rPr>
              <w:t>Tabela 1 – Modalidade/Tipo de Plano de Capitalização</w:t>
            </w: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2175"/>
              <w:gridCol w:w="1681"/>
            </w:tblGrid>
            <w:tr w:rsidR="00F53CE3" w:rsidRPr="00430215" w14:paraId="7CF0A8EB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7B16C40D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b/>
                      <w:iCs/>
                    </w:rPr>
                  </w:pPr>
                  <w:r w:rsidRPr="00430215">
                    <w:rPr>
                      <w:rFonts w:ascii="Calibri" w:hAnsi="Calibri"/>
                      <w:b/>
                      <w:iCs/>
                    </w:rPr>
                    <w:t>Modalidade/Tipo</w:t>
                  </w:r>
                </w:p>
                <w:p w14:paraId="336C2B80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b/>
                      <w:iCs/>
                    </w:rPr>
                  </w:pPr>
                  <w:r w:rsidRPr="00430215">
                    <w:rPr>
                      <w:rFonts w:ascii="Calibri" w:hAnsi="Calibri"/>
                      <w:b/>
                      <w:iCs/>
                    </w:rPr>
                    <w:t>(</w:t>
                  </w:r>
                  <w:r w:rsidRPr="00430215">
                    <w:rPr>
                      <w:rFonts w:ascii="Calibri" w:hAnsi="Calibri"/>
                      <w:b/>
                      <w:i/>
                      <w:iCs/>
                    </w:rPr>
                    <w:t>k</w:t>
                  </w:r>
                  <w:r w:rsidRPr="00430215">
                    <w:rPr>
                      <w:rFonts w:ascii="Calibri" w:hAnsi="Calibri"/>
                      <w:b/>
                      <w:iCs/>
                    </w:rPr>
                    <w:t>)</w:t>
                  </w:r>
                </w:p>
              </w:tc>
              <w:tc>
                <w:tcPr>
                  <w:tcW w:w="2175" w:type="dxa"/>
                </w:tcPr>
                <w:p w14:paraId="57CD92F5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b/>
                      <w:iCs/>
                    </w:rPr>
                  </w:pPr>
                  <w:r w:rsidRPr="00430215">
                    <w:rPr>
                      <w:rFonts w:ascii="Calibri" w:hAnsi="Calibri"/>
                      <w:b/>
                      <w:iCs/>
                    </w:rPr>
                    <w:t>Modalidade de plano de capitalização</w:t>
                  </w:r>
                </w:p>
              </w:tc>
              <w:tc>
                <w:tcPr>
                  <w:tcW w:w="1681" w:type="dxa"/>
                </w:tcPr>
                <w:p w14:paraId="048BA975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b/>
                      <w:iCs/>
                    </w:rPr>
                  </w:pPr>
                  <w:r w:rsidRPr="00430215">
                    <w:rPr>
                      <w:rFonts w:ascii="Calibri" w:hAnsi="Calibri"/>
                      <w:b/>
                      <w:iCs/>
                    </w:rPr>
                    <w:t>Tipo de plano de capitalização</w:t>
                  </w:r>
                </w:p>
              </w:tc>
            </w:tr>
            <w:tr w:rsidR="00F53CE3" w:rsidRPr="00430215" w14:paraId="5505E5BA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378D4126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1</w:t>
                  </w:r>
                </w:p>
              </w:tc>
              <w:tc>
                <w:tcPr>
                  <w:tcW w:w="2175" w:type="dxa"/>
                </w:tcPr>
                <w:p w14:paraId="4109195C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Tradicional / Instrumento de Garantia</w:t>
                  </w:r>
                </w:p>
              </w:tc>
              <w:tc>
                <w:tcPr>
                  <w:tcW w:w="1681" w:type="dxa"/>
                </w:tcPr>
                <w:p w14:paraId="151EAE00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único</w:t>
                  </w:r>
                </w:p>
              </w:tc>
            </w:tr>
            <w:tr w:rsidR="00F53CE3" w:rsidRPr="00430215" w14:paraId="7BEDF0FF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5E4B0575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lastRenderedPageBreak/>
                    <w:t>2</w:t>
                  </w:r>
                </w:p>
              </w:tc>
              <w:tc>
                <w:tcPr>
                  <w:tcW w:w="2175" w:type="dxa"/>
                </w:tcPr>
                <w:p w14:paraId="7F1D4120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Tradicional / Instrumento de garantia</w:t>
                  </w:r>
                </w:p>
              </w:tc>
              <w:tc>
                <w:tcPr>
                  <w:tcW w:w="1681" w:type="dxa"/>
                </w:tcPr>
                <w:p w14:paraId="205870D9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mensal</w:t>
                  </w:r>
                </w:p>
              </w:tc>
            </w:tr>
            <w:tr w:rsidR="00F53CE3" w:rsidRPr="00430215" w14:paraId="7CD80AA5" w14:textId="77777777" w:rsidTr="00DA26FF">
              <w:trPr>
                <w:trHeight w:val="885"/>
                <w:jc w:val="center"/>
              </w:trPr>
              <w:tc>
                <w:tcPr>
                  <w:tcW w:w="1446" w:type="dxa"/>
                </w:tcPr>
                <w:p w14:paraId="7243615E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3</w:t>
                  </w:r>
                </w:p>
              </w:tc>
              <w:tc>
                <w:tcPr>
                  <w:tcW w:w="2175" w:type="dxa"/>
                </w:tcPr>
                <w:p w14:paraId="1DFB415F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Tradicional / Instrumento de garantia</w:t>
                  </w:r>
                </w:p>
              </w:tc>
              <w:tc>
                <w:tcPr>
                  <w:tcW w:w="1681" w:type="dxa"/>
                </w:tcPr>
                <w:p w14:paraId="4B07947B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periódico</w:t>
                  </w:r>
                </w:p>
              </w:tc>
            </w:tr>
            <w:tr w:rsidR="00F53CE3" w:rsidRPr="00430215" w14:paraId="2611D3C4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071D6597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4</w:t>
                  </w:r>
                </w:p>
              </w:tc>
              <w:tc>
                <w:tcPr>
                  <w:tcW w:w="2175" w:type="dxa"/>
                </w:tcPr>
                <w:p w14:paraId="0DCEF8E6" w14:textId="77777777" w:rsidR="00F53CE3" w:rsidRPr="00430215" w:rsidRDefault="00F53CE3" w:rsidP="00F53CE3">
                  <w:pPr>
                    <w:jc w:val="center"/>
                  </w:pPr>
                  <w:r w:rsidRPr="00430215">
                    <w:t>Compra programada</w:t>
                  </w:r>
                </w:p>
              </w:tc>
              <w:tc>
                <w:tcPr>
                  <w:tcW w:w="1681" w:type="dxa"/>
                </w:tcPr>
                <w:p w14:paraId="582F3505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único</w:t>
                  </w:r>
                </w:p>
              </w:tc>
            </w:tr>
            <w:tr w:rsidR="00F53CE3" w:rsidRPr="00430215" w14:paraId="6B1403E7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14F5BC9B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5</w:t>
                  </w:r>
                </w:p>
              </w:tc>
              <w:tc>
                <w:tcPr>
                  <w:tcW w:w="2175" w:type="dxa"/>
                </w:tcPr>
                <w:p w14:paraId="325134D7" w14:textId="77777777" w:rsidR="00F53CE3" w:rsidRPr="00430215" w:rsidRDefault="00F53CE3" w:rsidP="00F53CE3">
                  <w:pPr>
                    <w:jc w:val="center"/>
                  </w:pPr>
                  <w:r w:rsidRPr="00430215">
                    <w:t>Compra programada</w:t>
                  </w:r>
                </w:p>
              </w:tc>
              <w:tc>
                <w:tcPr>
                  <w:tcW w:w="1681" w:type="dxa"/>
                </w:tcPr>
                <w:p w14:paraId="7064EE39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mensal</w:t>
                  </w:r>
                </w:p>
              </w:tc>
            </w:tr>
            <w:tr w:rsidR="00F53CE3" w:rsidRPr="00430215" w14:paraId="7C5E0CA4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79E6B737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6</w:t>
                  </w:r>
                </w:p>
              </w:tc>
              <w:tc>
                <w:tcPr>
                  <w:tcW w:w="2175" w:type="dxa"/>
                </w:tcPr>
                <w:p w14:paraId="230FB464" w14:textId="77777777" w:rsidR="00F53CE3" w:rsidRPr="00430215" w:rsidRDefault="00F53CE3" w:rsidP="00F53CE3">
                  <w:pPr>
                    <w:jc w:val="center"/>
                  </w:pPr>
                  <w:r w:rsidRPr="00430215">
                    <w:t>Compra programada</w:t>
                  </w:r>
                </w:p>
              </w:tc>
              <w:tc>
                <w:tcPr>
                  <w:tcW w:w="1681" w:type="dxa"/>
                </w:tcPr>
                <w:p w14:paraId="2C881A19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periódico</w:t>
                  </w:r>
                </w:p>
              </w:tc>
            </w:tr>
            <w:tr w:rsidR="00F53CE3" w:rsidRPr="00430215" w14:paraId="79B9F0BE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3F17EE6F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7</w:t>
                  </w:r>
                </w:p>
              </w:tc>
              <w:tc>
                <w:tcPr>
                  <w:tcW w:w="2175" w:type="dxa"/>
                </w:tcPr>
                <w:p w14:paraId="1422DFBC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Popular</w:t>
                  </w:r>
                </w:p>
              </w:tc>
              <w:tc>
                <w:tcPr>
                  <w:tcW w:w="1681" w:type="dxa"/>
                </w:tcPr>
                <w:p w14:paraId="18EDE6BF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único</w:t>
                  </w:r>
                </w:p>
              </w:tc>
            </w:tr>
            <w:tr w:rsidR="00F53CE3" w:rsidRPr="00430215" w14:paraId="666FDC00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6D55B48A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8</w:t>
                  </w:r>
                </w:p>
              </w:tc>
              <w:tc>
                <w:tcPr>
                  <w:tcW w:w="2175" w:type="dxa"/>
                </w:tcPr>
                <w:p w14:paraId="0BFBF45E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Popular</w:t>
                  </w:r>
                </w:p>
              </w:tc>
              <w:tc>
                <w:tcPr>
                  <w:tcW w:w="1681" w:type="dxa"/>
                </w:tcPr>
                <w:p w14:paraId="5BDA72B8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mensal</w:t>
                  </w:r>
                </w:p>
              </w:tc>
            </w:tr>
            <w:tr w:rsidR="00F53CE3" w:rsidRPr="00430215" w14:paraId="2CFEB7C5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6C57E010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9</w:t>
                  </w:r>
                </w:p>
              </w:tc>
              <w:tc>
                <w:tcPr>
                  <w:tcW w:w="2175" w:type="dxa"/>
                </w:tcPr>
                <w:p w14:paraId="023BAD84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Popular</w:t>
                  </w:r>
                </w:p>
              </w:tc>
              <w:tc>
                <w:tcPr>
                  <w:tcW w:w="1681" w:type="dxa"/>
                </w:tcPr>
                <w:p w14:paraId="467C636A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periódico</w:t>
                  </w:r>
                </w:p>
              </w:tc>
            </w:tr>
            <w:tr w:rsidR="00F53CE3" w:rsidRPr="00430215" w14:paraId="41A35A61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42DCDE60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10</w:t>
                  </w:r>
                </w:p>
              </w:tc>
              <w:tc>
                <w:tcPr>
                  <w:tcW w:w="2175" w:type="dxa"/>
                </w:tcPr>
                <w:p w14:paraId="2E4BF29A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Incentivo / Filantropia premiada</w:t>
                  </w:r>
                </w:p>
              </w:tc>
              <w:tc>
                <w:tcPr>
                  <w:tcW w:w="1681" w:type="dxa"/>
                </w:tcPr>
                <w:p w14:paraId="32A6BCBD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único</w:t>
                  </w:r>
                </w:p>
              </w:tc>
            </w:tr>
            <w:tr w:rsidR="00F53CE3" w:rsidRPr="00430215" w14:paraId="63B2FCDC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32CF0C29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11</w:t>
                  </w:r>
                </w:p>
              </w:tc>
              <w:tc>
                <w:tcPr>
                  <w:tcW w:w="2175" w:type="dxa"/>
                </w:tcPr>
                <w:p w14:paraId="4C126154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Incentivo / Filantropia premiada</w:t>
                  </w:r>
                </w:p>
              </w:tc>
              <w:tc>
                <w:tcPr>
                  <w:tcW w:w="1681" w:type="dxa"/>
                </w:tcPr>
                <w:p w14:paraId="782CA496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mensal</w:t>
                  </w:r>
                </w:p>
              </w:tc>
            </w:tr>
            <w:tr w:rsidR="00F53CE3" w:rsidRPr="00430215" w14:paraId="49710266" w14:textId="77777777" w:rsidTr="00DA26FF">
              <w:trPr>
                <w:jc w:val="center"/>
              </w:trPr>
              <w:tc>
                <w:tcPr>
                  <w:tcW w:w="1446" w:type="dxa"/>
                </w:tcPr>
                <w:p w14:paraId="649B7330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12</w:t>
                  </w:r>
                </w:p>
              </w:tc>
              <w:tc>
                <w:tcPr>
                  <w:tcW w:w="2175" w:type="dxa"/>
                </w:tcPr>
                <w:p w14:paraId="3A9EEE86" w14:textId="77777777" w:rsidR="00F53CE3" w:rsidRPr="00F53CE3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F53CE3">
                    <w:rPr>
                      <w:rFonts w:ascii="Calibri" w:hAnsi="Calibri"/>
                      <w:iCs/>
                    </w:rPr>
                    <w:t>Incentivo / Filantropia premiada</w:t>
                  </w:r>
                </w:p>
              </w:tc>
              <w:tc>
                <w:tcPr>
                  <w:tcW w:w="1681" w:type="dxa"/>
                </w:tcPr>
                <w:p w14:paraId="7E316EB5" w14:textId="77777777" w:rsidR="00F53CE3" w:rsidRPr="00430215" w:rsidRDefault="00F53CE3" w:rsidP="00F53CE3">
                  <w:pPr>
                    <w:spacing w:before="120" w:after="120"/>
                    <w:ind w:right="120"/>
                    <w:jc w:val="center"/>
                    <w:rPr>
                      <w:rFonts w:ascii="Calibri" w:hAnsi="Calibri"/>
                      <w:iCs/>
                    </w:rPr>
                  </w:pPr>
                  <w:r w:rsidRPr="00430215">
                    <w:rPr>
                      <w:rFonts w:ascii="Calibri" w:hAnsi="Calibri"/>
                      <w:iCs/>
                    </w:rPr>
                    <w:t>Pagamento periódico</w:t>
                  </w:r>
                </w:p>
              </w:tc>
            </w:tr>
          </w:tbl>
          <w:p w14:paraId="1B55769C" w14:textId="77777777" w:rsidR="00F53CE3" w:rsidRPr="00F53CE3" w:rsidRDefault="00F53CE3" w:rsidP="0011261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74F0A2C" w14:textId="5A7E3394" w:rsidR="00F53CE3" w:rsidRPr="0011261B" w:rsidRDefault="00F53CE3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E460B22" w14:textId="77777777" w:rsidR="0011261B" w:rsidRPr="00481601" w:rsidRDefault="0011261B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025E654" w14:textId="77777777" w:rsidR="0011261B" w:rsidRPr="00481601" w:rsidRDefault="0011261B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1261B" w:rsidRPr="00481601" w14:paraId="25D3A38F" w14:textId="77777777" w:rsidTr="00DA26FF">
        <w:trPr>
          <w:trHeight w:val="856"/>
        </w:trPr>
        <w:tc>
          <w:tcPr>
            <w:tcW w:w="5104" w:type="dxa"/>
          </w:tcPr>
          <w:p w14:paraId="45B2ACFA" w14:textId="77777777" w:rsidR="0011261B" w:rsidRDefault="0011261B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156FE" w14:textId="2C1EABDA" w:rsidR="00F53CE3" w:rsidRDefault="00F53CE3" w:rsidP="0011261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Art. 3º</w:t>
            </w:r>
            <w:r w:rsidR="00200A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anexo XXIII da Resolução CNSP nº 321, de 15 de dezembro de 2015, passa a vigorar com as seguintes alterações:</w:t>
            </w:r>
          </w:p>
          <w:p w14:paraId="527338AC" w14:textId="77777777" w:rsidR="00F53CE3" w:rsidRDefault="00F53CE3" w:rsidP="0011261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BFE55EF" w14:textId="0A5E0563" w:rsidR="00F53CE3" w:rsidRPr="0011261B" w:rsidRDefault="00F53CE3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7338FA2" w14:textId="77777777" w:rsidR="0011261B" w:rsidRPr="00481601" w:rsidRDefault="0011261B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01A2394" w14:textId="77777777" w:rsidR="0011261B" w:rsidRPr="00481601" w:rsidRDefault="0011261B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3CE3" w:rsidRPr="00481601" w14:paraId="1385CBE2" w14:textId="77777777" w:rsidTr="00DA26FF">
        <w:trPr>
          <w:trHeight w:val="2098"/>
        </w:trPr>
        <w:tc>
          <w:tcPr>
            <w:tcW w:w="15739" w:type="dxa"/>
            <w:gridSpan w:val="3"/>
          </w:tcPr>
          <w:p w14:paraId="5893ACE6" w14:textId="574FF3E6" w:rsidR="00F53CE3" w:rsidRDefault="00F53CE3" w:rsidP="00F5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3CE3">
              <w:rPr>
                <w:rFonts w:ascii="Calibri" w:hAnsi="Calibri" w:cs="Calibri"/>
                <w:sz w:val="22"/>
                <w:szCs w:val="22"/>
              </w:rPr>
              <w:lastRenderedPageBreak/>
              <w:t>"Art.</w:t>
            </w:r>
            <w:r w:rsidR="00614C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F53CE3">
              <w:rPr>
                <w:rFonts w:ascii="Calibri" w:hAnsi="Calibri" w:cs="Calibri"/>
                <w:sz w:val="22"/>
                <w:szCs w:val="22"/>
              </w:rPr>
              <w:t>º...........................................................................</w:t>
            </w:r>
          </w:p>
          <w:p w14:paraId="69A1D1F2" w14:textId="77777777" w:rsidR="00F53CE3" w:rsidRPr="00F53CE3" w:rsidRDefault="00F53CE3" w:rsidP="00F5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001300" w14:textId="77777777" w:rsidR="00F53CE3" w:rsidRPr="00F53CE3" w:rsidRDefault="00F53CE3" w:rsidP="00F5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3CE3">
              <w:rPr>
                <w:rFonts w:ascii="Calibri" w:hAnsi="Calibri" w:cs="Calibri"/>
                <w:sz w:val="22"/>
                <w:szCs w:val="22"/>
              </w:rPr>
              <w:t>§ 1º A parcela fixa do capital base corresponde a:</w:t>
            </w:r>
          </w:p>
          <w:p w14:paraId="1DE59190" w14:textId="77777777" w:rsidR="00F53CE3" w:rsidRPr="00F53CE3" w:rsidRDefault="00F53CE3" w:rsidP="00F5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0DFB63" w14:textId="77777777" w:rsidR="00F53CE3" w:rsidRPr="00F53CE3" w:rsidRDefault="00F53CE3" w:rsidP="00F5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3CE3">
              <w:rPr>
                <w:rFonts w:ascii="Calibri" w:hAnsi="Calibri" w:cs="Calibri"/>
                <w:sz w:val="22"/>
                <w:szCs w:val="22"/>
              </w:rPr>
              <w:t>a) R$ 1.200.000,00 (um milhão e duzentos mil reais) para Seguradoras e EAPCs; e</w:t>
            </w:r>
          </w:p>
          <w:p w14:paraId="3271BD76" w14:textId="77777777" w:rsidR="00F53CE3" w:rsidRPr="00F53CE3" w:rsidRDefault="00F53CE3" w:rsidP="00F5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7E300F" w14:textId="77777777" w:rsidR="00F53CE3" w:rsidRPr="00F53CE3" w:rsidRDefault="00F53CE3" w:rsidP="00F5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3CE3">
              <w:rPr>
                <w:rFonts w:ascii="Calibri" w:hAnsi="Calibri" w:cs="Calibri"/>
                <w:sz w:val="22"/>
                <w:szCs w:val="22"/>
              </w:rPr>
              <w:t>b) R$ 240.000 (duzentos e quarenta mil reais) para as supervisionadas que operem exclusivamente em microsseguro.</w:t>
            </w:r>
          </w:p>
          <w:p w14:paraId="14068146" w14:textId="77777777" w:rsidR="00F53CE3" w:rsidRPr="00F53CE3" w:rsidRDefault="00F53CE3" w:rsidP="00F53C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5339B1" w14:textId="77777777" w:rsidR="00F53CE3" w:rsidRDefault="00F53CE3" w:rsidP="00CF714B">
            <w:pPr>
              <w:rPr>
                <w:rFonts w:ascii="Calibri" w:hAnsi="Calibri" w:cs="Calibri"/>
                <w:sz w:val="22"/>
                <w:szCs w:val="22"/>
              </w:rPr>
            </w:pPr>
            <w:r w:rsidRPr="00F53CE3">
              <w:rPr>
                <w:rFonts w:ascii="Calibri" w:hAnsi="Calibri" w:cs="Calibri"/>
                <w:sz w:val="22"/>
                <w:szCs w:val="22"/>
              </w:rPr>
              <w:t>§ 2º A parcela variável do capital base será determinada de acordo com a região em que a Seguradora ou EAPC tenha sido autorizada a operar, o segmento no qual esteja enquadrada e o tipo de operação, conforme quadro a seguir:</w:t>
            </w:r>
          </w:p>
          <w:p w14:paraId="1E7ED5A4" w14:textId="77777777" w:rsidR="00CF714B" w:rsidRDefault="00CF714B" w:rsidP="00CF714B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780"/>
              <w:gridCol w:w="3280"/>
              <w:gridCol w:w="3280"/>
              <w:gridCol w:w="3280"/>
            </w:tblGrid>
            <w:tr w:rsidR="00CF714B" w:rsidRPr="00CF714B" w14:paraId="54D422CC" w14:textId="77777777" w:rsidTr="00DA26FF">
              <w:trPr>
                <w:trHeight w:val="2145"/>
                <w:jc w:val="center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FF5B7C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Região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54A30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Estados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BEF5F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Parcela variável para EAPCs e Seguradoras enquadradas como S1 ou S2 (em reais)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7ADCD6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Parcela variável para EAPCs e Seguradoras enquadradas como S3 (em reais)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6E8F8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Parcela variável para Seguradoras enquadradas como S4 e para supervisionadas que operem exclusivamente em microsseguro (em reais)</w:t>
                  </w:r>
                </w:p>
              </w:tc>
            </w:tr>
            <w:tr w:rsidR="00CF714B" w:rsidRPr="00CF714B" w14:paraId="695E0615" w14:textId="77777777" w:rsidTr="00DA26FF">
              <w:trPr>
                <w:trHeight w:val="675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47C87E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E3888E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AM, PA, AC, RR, AP, RO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0FA6FF4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120.000,00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A5983D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60.000,00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CE60A2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24.000,00</w:t>
                  </w:r>
                </w:p>
              </w:tc>
            </w:tr>
            <w:tr w:rsidR="00CF714B" w:rsidRPr="00CF714B" w14:paraId="5C5BF4A6" w14:textId="77777777" w:rsidTr="00DA26FF">
              <w:trPr>
                <w:trHeight w:val="675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1C4EA9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028CF9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PI, MA, CE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E715A9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120.000,00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36A8C5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60.000,00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F56622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24.000,00</w:t>
                  </w:r>
                </w:p>
              </w:tc>
            </w:tr>
            <w:tr w:rsidR="00CF714B" w:rsidRPr="00CF714B" w14:paraId="0BF3251E" w14:textId="77777777" w:rsidTr="00DA26FF">
              <w:trPr>
                <w:trHeight w:val="675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C57D63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82D30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PE, RN, PB, AL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C9A4554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180.000,00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29EE0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90.000,00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5DED9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36.000,00</w:t>
                  </w:r>
                </w:p>
              </w:tc>
            </w:tr>
            <w:tr w:rsidR="00CF714B" w:rsidRPr="00CF714B" w14:paraId="641889AF" w14:textId="77777777" w:rsidTr="00DA26FF">
              <w:trPr>
                <w:trHeight w:val="675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E3B429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834E93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SE, BA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B6A5AC1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180.000,00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2899F8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90.000,00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A7A2AD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36.000,00</w:t>
                  </w:r>
                </w:p>
              </w:tc>
            </w:tr>
            <w:tr w:rsidR="00CF714B" w:rsidRPr="00CF714B" w14:paraId="16574A05" w14:textId="77777777" w:rsidTr="00DA26FF">
              <w:trPr>
                <w:trHeight w:val="675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66D951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ABAAA1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GO, DF, TO, MT, MS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4BDB0CA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600.000,00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34081B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300.000,00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27BBAA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120.000,00</w:t>
                  </w:r>
                </w:p>
              </w:tc>
            </w:tr>
            <w:tr w:rsidR="00CF714B" w:rsidRPr="00CF714B" w14:paraId="5EF8287A" w14:textId="77777777" w:rsidTr="00DA26FF">
              <w:trPr>
                <w:trHeight w:val="675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BF4C74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E4BF2E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RJ, ES, MG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88714A9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2.800.000,00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308625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1.400.000,00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96D863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560.000,00</w:t>
                  </w:r>
                </w:p>
              </w:tc>
            </w:tr>
            <w:tr w:rsidR="00CF714B" w:rsidRPr="00CF714B" w14:paraId="049159A5" w14:textId="77777777" w:rsidTr="00DA26FF">
              <w:trPr>
                <w:trHeight w:val="675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35C5CE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268D9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SP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AD0DCC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8.800.000,00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F71117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4.400.000,00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79238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1.760.000,00</w:t>
                  </w:r>
                </w:p>
              </w:tc>
            </w:tr>
            <w:tr w:rsidR="00CF714B" w:rsidRPr="00CF714B" w14:paraId="22F728D3" w14:textId="77777777" w:rsidTr="00DA26FF">
              <w:trPr>
                <w:trHeight w:val="675"/>
                <w:jc w:val="center"/>
              </w:trPr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8C69D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84D4D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PR, SC, RS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9A5BC4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1.000.000,00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F2B0B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500.000,00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E331B8" w14:textId="77777777" w:rsidR="00CF714B" w:rsidRPr="00CF714B" w:rsidRDefault="00CF714B" w:rsidP="00CF714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F714B">
                    <w:rPr>
                      <w:rFonts w:ascii="Calibri" w:hAnsi="Calibri"/>
                      <w:sz w:val="24"/>
                      <w:szCs w:val="24"/>
                    </w:rPr>
                    <w:t>200.000,00</w:t>
                  </w:r>
                </w:p>
              </w:tc>
            </w:tr>
          </w:tbl>
          <w:p w14:paraId="7EE5FD57" w14:textId="77777777" w:rsidR="00CF714B" w:rsidRPr="00CF714B" w:rsidRDefault="00CF714B" w:rsidP="00CF714B">
            <w:pPr>
              <w:spacing w:before="120" w:after="120"/>
              <w:ind w:left="120" w:right="120"/>
              <w:jc w:val="center"/>
              <w:rPr>
                <w:rFonts w:cs="EUAlbertina"/>
                <w:sz w:val="24"/>
                <w:szCs w:val="24"/>
              </w:rPr>
            </w:pPr>
            <w:r w:rsidRPr="00CF714B" w:rsidDel="005853BB">
              <w:rPr>
                <w:b/>
                <w:bCs/>
                <w:sz w:val="24"/>
                <w:szCs w:val="24"/>
              </w:rPr>
              <w:t xml:space="preserve"> </w:t>
            </w:r>
            <w:r w:rsidRPr="00CF714B">
              <w:rPr>
                <w:rFonts w:cs="EUAlbertina"/>
                <w:sz w:val="24"/>
                <w:szCs w:val="24"/>
              </w:rPr>
              <w:t>Quadro da Parcela Variável por Região</w:t>
            </w:r>
          </w:p>
          <w:p w14:paraId="02D6B58C" w14:textId="77777777" w:rsidR="00CF714B" w:rsidRDefault="00CF714B" w:rsidP="00CF714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6AD5D4" w14:textId="77777777" w:rsidR="00614CA9" w:rsidRPr="00614CA9" w:rsidRDefault="00614CA9" w:rsidP="00614CA9">
            <w:pPr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§ 3º O capital base para operar em todo país corresponde a:</w:t>
            </w:r>
          </w:p>
          <w:p w14:paraId="4999E957" w14:textId="77777777" w:rsidR="00614CA9" w:rsidRPr="00614CA9" w:rsidRDefault="00614CA9" w:rsidP="00614C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997D18" w14:textId="77777777" w:rsidR="00614CA9" w:rsidRPr="00614CA9" w:rsidRDefault="00614CA9" w:rsidP="00614CA9">
            <w:pPr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a) R$ 15.000.000,00 (quinze milhões de reais) para EAPCs e Seguradoras enquadradas como S1 ou S2;</w:t>
            </w:r>
          </w:p>
          <w:p w14:paraId="0B60D2A5" w14:textId="77777777" w:rsidR="00614CA9" w:rsidRPr="00614CA9" w:rsidRDefault="00614CA9" w:rsidP="00614C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7DBE03" w14:textId="77777777" w:rsidR="00614CA9" w:rsidRPr="00614CA9" w:rsidRDefault="00614CA9" w:rsidP="00614CA9">
            <w:pPr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b) R$ 8.100.000,00 (oito milhões e cem mil reais) para EAPCs e Seguradoras enquadradas como S3;</w:t>
            </w:r>
          </w:p>
          <w:p w14:paraId="1EEF4A2A" w14:textId="77777777" w:rsidR="00614CA9" w:rsidRPr="00614CA9" w:rsidRDefault="00614CA9" w:rsidP="00614C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FCF543" w14:textId="77777777" w:rsidR="00614CA9" w:rsidRPr="00614CA9" w:rsidRDefault="00614CA9" w:rsidP="00614CA9">
            <w:pPr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c) R$ 3.960.000,00 (três milhões e novecentos e sessenta mil reais) para Seguradoras enquadradas como S4; e</w:t>
            </w:r>
          </w:p>
          <w:p w14:paraId="6F59FA88" w14:textId="77777777" w:rsidR="00614CA9" w:rsidRPr="00614CA9" w:rsidRDefault="00614CA9" w:rsidP="00614C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11D232" w14:textId="77777777" w:rsidR="00CF714B" w:rsidRDefault="00614CA9" w:rsidP="00D6041A">
            <w:pPr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d) R$ 3.000.000,00 (três milhões de reais) para supervisionadas que operem exclusivamente em microsseguro." (NR)</w:t>
            </w:r>
          </w:p>
          <w:p w14:paraId="62A29D9F" w14:textId="685460C8" w:rsidR="00D6041A" w:rsidRPr="00481601" w:rsidRDefault="00D6041A" w:rsidP="00D6041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3CE3" w:rsidRPr="00481601" w14:paraId="73A58432" w14:textId="77777777" w:rsidTr="00DA26FF">
        <w:trPr>
          <w:trHeight w:val="428"/>
        </w:trPr>
        <w:tc>
          <w:tcPr>
            <w:tcW w:w="15739" w:type="dxa"/>
            <w:gridSpan w:val="3"/>
          </w:tcPr>
          <w:p w14:paraId="59462926" w14:textId="4AD1B782" w:rsidR="00F53CE3" w:rsidRPr="00481601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SUGESTÕES</w:t>
            </w:r>
          </w:p>
        </w:tc>
      </w:tr>
      <w:tr w:rsidR="00F53CE3" w:rsidRPr="00481601" w14:paraId="0BE37F99" w14:textId="77777777" w:rsidTr="00DA26FF">
        <w:trPr>
          <w:trHeight w:val="2098"/>
        </w:trPr>
        <w:tc>
          <w:tcPr>
            <w:tcW w:w="15739" w:type="dxa"/>
            <w:gridSpan w:val="3"/>
          </w:tcPr>
          <w:p w14:paraId="26872AB8" w14:textId="77777777" w:rsidR="00F53CE3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A7EADEF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8E3828A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B13C45F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0613AFE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D20EAE2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2DF93F4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63BC5CB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E1FC187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3504E82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AE08B5F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34F938E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249FFB5" w14:textId="77777777" w:rsidR="00B57DC1" w:rsidRPr="0048160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3CE3" w:rsidRPr="00481601" w14:paraId="28A35221" w14:textId="77777777" w:rsidTr="00DA26FF">
        <w:trPr>
          <w:trHeight w:val="429"/>
        </w:trPr>
        <w:tc>
          <w:tcPr>
            <w:tcW w:w="15739" w:type="dxa"/>
            <w:gridSpan w:val="3"/>
          </w:tcPr>
          <w:p w14:paraId="6591E24B" w14:textId="427561F9" w:rsidR="00F53CE3" w:rsidRPr="00481601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JUSTIFICATIVAS</w:t>
            </w:r>
          </w:p>
        </w:tc>
      </w:tr>
      <w:tr w:rsidR="00F53CE3" w:rsidRPr="00481601" w14:paraId="4B4E8A73" w14:textId="77777777" w:rsidTr="00B57DC1">
        <w:trPr>
          <w:trHeight w:val="70"/>
        </w:trPr>
        <w:tc>
          <w:tcPr>
            <w:tcW w:w="15739" w:type="dxa"/>
            <w:gridSpan w:val="3"/>
          </w:tcPr>
          <w:p w14:paraId="1DEC127D" w14:textId="77777777" w:rsidR="00F53CE3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8DFAB1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5D6F96B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32B62A7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2745FE9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5902CCF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713DFC2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07BF829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EEBF8D7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DB60F93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D48C885" w14:textId="77777777" w:rsidR="00B57DC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DE9BEEE" w14:textId="77777777" w:rsidR="00B57DC1" w:rsidRPr="00481601" w:rsidRDefault="00B57DC1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D40BB" w:rsidRPr="00481601" w14:paraId="4EC2BBDF" w14:textId="77777777" w:rsidTr="00DA26FF">
        <w:trPr>
          <w:trHeight w:val="416"/>
        </w:trPr>
        <w:tc>
          <w:tcPr>
            <w:tcW w:w="5104" w:type="dxa"/>
          </w:tcPr>
          <w:p w14:paraId="59525857" w14:textId="507755DD" w:rsidR="00BD40BB" w:rsidRPr="00DA26FF" w:rsidRDefault="00DA26FF" w:rsidP="00E8758F">
            <w:pPr>
              <w:jc w:val="center"/>
              <w:rPr>
                <w:b/>
                <w:bCs/>
                <w:sz w:val="24"/>
                <w:szCs w:val="24"/>
              </w:rPr>
            </w:pPr>
            <w:r w:rsidRPr="00DA26FF">
              <w:rPr>
                <w:b/>
                <w:bCs/>
                <w:sz w:val="24"/>
                <w:szCs w:val="24"/>
              </w:rPr>
              <w:lastRenderedPageBreak/>
              <w:t>MINUTA</w:t>
            </w:r>
          </w:p>
        </w:tc>
        <w:tc>
          <w:tcPr>
            <w:tcW w:w="5103" w:type="dxa"/>
          </w:tcPr>
          <w:p w14:paraId="4713D740" w14:textId="02437891" w:rsidR="00BD40BB" w:rsidRPr="00DA26FF" w:rsidRDefault="00DA26FF" w:rsidP="00E8758F">
            <w:pPr>
              <w:jc w:val="center"/>
              <w:rPr>
                <w:b/>
                <w:bCs/>
                <w:sz w:val="24"/>
                <w:szCs w:val="24"/>
              </w:rPr>
            </w:pPr>
            <w:r w:rsidRPr="00DA26FF">
              <w:rPr>
                <w:b/>
                <w:bCs/>
                <w:sz w:val="24"/>
                <w:szCs w:val="24"/>
              </w:rPr>
              <w:t>SUGESTÕES</w:t>
            </w:r>
          </w:p>
        </w:tc>
        <w:tc>
          <w:tcPr>
            <w:tcW w:w="5532" w:type="dxa"/>
          </w:tcPr>
          <w:p w14:paraId="16F84D86" w14:textId="7174F73D" w:rsidR="00BD40BB" w:rsidRPr="00DA26FF" w:rsidRDefault="00DA26FF" w:rsidP="00E8758F">
            <w:pPr>
              <w:jc w:val="center"/>
              <w:rPr>
                <w:b/>
                <w:bCs/>
                <w:sz w:val="24"/>
                <w:szCs w:val="24"/>
              </w:rPr>
            </w:pPr>
            <w:r w:rsidRPr="00DA26FF">
              <w:rPr>
                <w:b/>
                <w:bCs/>
                <w:sz w:val="24"/>
                <w:szCs w:val="24"/>
              </w:rPr>
              <w:t>JUSTIFICATIVAS</w:t>
            </w:r>
          </w:p>
        </w:tc>
      </w:tr>
      <w:tr w:rsidR="00F53CE3" w:rsidRPr="00481601" w14:paraId="3C3C9BA3" w14:textId="77777777" w:rsidTr="00DA26FF">
        <w:trPr>
          <w:trHeight w:val="2098"/>
        </w:trPr>
        <w:tc>
          <w:tcPr>
            <w:tcW w:w="5104" w:type="dxa"/>
          </w:tcPr>
          <w:p w14:paraId="0302BAFF" w14:textId="1752D9D8" w:rsidR="00F53CE3" w:rsidRPr="0011261B" w:rsidRDefault="00200A4F" w:rsidP="001126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Art. 4º </w:t>
            </w:r>
            <w:r w:rsidR="00614CA9">
              <w:rPr>
                <w:rFonts w:ascii="Calibri" w:hAnsi="Calibri"/>
                <w:color w:val="000000"/>
                <w:sz w:val="22"/>
                <w:szCs w:val="22"/>
              </w:rPr>
              <w:t>O anexo XXVI da Resolução CNSP nº 321, de 15 de dezembro de 2015, passa a vigorar com as seguintes alterações:</w:t>
            </w:r>
          </w:p>
        </w:tc>
        <w:tc>
          <w:tcPr>
            <w:tcW w:w="5103" w:type="dxa"/>
          </w:tcPr>
          <w:p w14:paraId="1ACC68EF" w14:textId="77777777" w:rsidR="00F53CE3" w:rsidRPr="00481601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EE25751" w14:textId="77777777" w:rsidR="00F53CE3" w:rsidRPr="00481601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3CE3" w:rsidRPr="00481601" w14:paraId="42E8BB43" w14:textId="77777777" w:rsidTr="00DA26FF">
        <w:trPr>
          <w:trHeight w:val="2098"/>
        </w:trPr>
        <w:tc>
          <w:tcPr>
            <w:tcW w:w="5104" w:type="dxa"/>
          </w:tcPr>
          <w:p w14:paraId="7CDAEADB" w14:textId="3E4C4114" w:rsidR="00614CA9" w:rsidRPr="00286B99" w:rsidRDefault="00614CA9" w:rsidP="00614CA9">
            <w:pPr>
              <w:jc w:val="both"/>
              <w:rPr>
                <w:rFonts w:ascii="Calibri" w:hAnsi="Calibri"/>
                <w:color w:val="FF0000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"Art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779A9">
              <w:rPr>
                <w:rFonts w:ascii="Calibri" w:hAnsi="Calibri" w:cs="Calibri"/>
                <w:sz w:val="22"/>
                <w:szCs w:val="22"/>
              </w:rPr>
              <w:t>2º</w:t>
            </w:r>
            <w:r w:rsidR="00200A4F" w:rsidRPr="005779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6B99" w:rsidRPr="005779A9">
              <w:rPr>
                <w:rFonts w:ascii="Calibri" w:hAnsi="Calibri"/>
              </w:rPr>
              <w:t>As supervisionadas enquadradas no segmento S1 poderão mensurar seu capital de risco com base em modelo interno total ou parcial aprovado pela Susep.</w:t>
            </w:r>
          </w:p>
          <w:p w14:paraId="0E69683F" w14:textId="77777777" w:rsidR="00286B99" w:rsidRPr="00614CA9" w:rsidRDefault="00286B9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70D8B4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§1º O modelo interno deve estar integrado com a Estrutura de Gestão de Risco da supervisionada.</w:t>
            </w:r>
          </w:p>
          <w:p w14:paraId="0536690E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68F4B6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§2º Os pedidos de aprovação apresentados pelas supervisionadas devem ser sempre acompanhados de documentação a ser definida pela Susep.</w:t>
            </w:r>
          </w:p>
          <w:p w14:paraId="3C80AD8E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8EE658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§3º A supervisionada pode utilizar modelos internos parciais no cálculo de uma ou mais parcelas dos capitais de risco, desde de que devidamente justificado com base nos seus riscos e na sua Estrutura de Gestão de Risco.</w:t>
            </w:r>
          </w:p>
          <w:p w14:paraId="18279BEE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95CAC2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§4º A Susep, no momento de análise do modelo interno parcial, pode exigir, e condicionar sua aprovação, que as supervisionadas apresentem um plano de transição realista para a ampliação do âmbito do modelo interno.</w:t>
            </w:r>
          </w:p>
          <w:p w14:paraId="07905164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8F25CC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§5º As alterações do modelo interno são sujeitas à aprovação prévia da Susep.</w:t>
            </w:r>
          </w:p>
          <w:p w14:paraId="7CA9CCFC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29E380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§6º As supervisionadas somente poderão retornar à utilização da fórmula padrão para cálculo do capital de risco em circunstâncias devidamente justificadas e mediante autorização prévia da Susep.</w:t>
            </w:r>
          </w:p>
          <w:p w14:paraId="77095407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E98907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lastRenderedPageBreak/>
              <w:t>§7º A supervisionada deverá implementar sistema de governança do modelo, buscando garantir sua constante adequação.</w:t>
            </w:r>
          </w:p>
          <w:p w14:paraId="093AAE62" w14:textId="77777777" w:rsidR="00614CA9" w:rsidRPr="00614CA9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0DD7AD" w14:textId="77777777" w:rsidR="00F53CE3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4CA9">
              <w:rPr>
                <w:rFonts w:ascii="Calibri" w:hAnsi="Calibri" w:cs="Calibri"/>
                <w:sz w:val="22"/>
                <w:szCs w:val="22"/>
              </w:rPr>
              <w:t>§8º A Susep definirá os requisitos e critérios para elaboração e aprovação de modelo interno, suas alterações, assim como do sistema de governança do modelo." (NR)</w:t>
            </w:r>
          </w:p>
          <w:p w14:paraId="63DB958F" w14:textId="2B409B1A" w:rsidR="00B24BFE" w:rsidRPr="0011261B" w:rsidRDefault="00B24BFE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057287" w14:textId="77777777" w:rsidR="00F53CE3" w:rsidRPr="00481601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E078E3E" w14:textId="77777777" w:rsidR="00F53CE3" w:rsidRPr="00481601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3CE3" w:rsidRPr="00481601" w14:paraId="47671C7B" w14:textId="77777777" w:rsidTr="00DA26FF">
        <w:trPr>
          <w:trHeight w:val="2098"/>
        </w:trPr>
        <w:tc>
          <w:tcPr>
            <w:tcW w:w="5104" w:type="dxa"/>
          </w:tcPr>
          <w:p w14:paraId="64FCD7EC" w14:textId="53EDDC4B" w:rsidR="00F53CE3" w:rsidRPr="0011261B" w:rsidRDefault="00614CA9" w:rsidP="00614C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Art. 5º Fica revogado o parágrafo 4º do art. 50 e o parágrafo 3º do art. 129 da Resolução CNSP nº 321, de 15 de dezembro de 2015.</w:t>
            </w:r>
          </w:p>
        </w:tc>
        <w:tc>
          <w:tcPr>
            <w:tcW w:w="5103" w:type="dxa"/>
          </w:tcPr>
          <w:p w14:paraId="52F455DF" w14:textId="77777777" w:rsidR="00F53CE3" w:rsidRPr="00481601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28F1D63" w14:textId="77777777" w:rsidR="00F53CE3" w:rsidRPr="00481601" w:rsidRDefault="00F53CE3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14CA9" w:rsidRPr="00481601" w14:paraId="28451649" w14:textId="77777777" w:rsidTr="00DA26FF">
        <w:trPr>
          <w:trHeight w:val="2098"/>
        </w:trPr>
        <w:tc>
          <w:tcPr>
            <w:tcW w:w="5104" w:type="dxa"/>
          </w:tcPr>
          <w:p w14:paraId="3CE9F0AA" w14:textId="672910CC" w:rsidR="00614CA9" w:rsidRDefault="00614CA9" w:rsidP="00614CA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Art.</w:t>
            </w:r>
            <w:r w:rsidR="00A239E5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  <w:r w:rsidR="00200A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Esta resolução entra em vigor em 1º de janeiro de 2021.</w:t>
            </w:r>
          </w:p>
        </w:tc>
        <w:tc>
          <w:tcPr>
            <w:tcW w:w="5103" w:type="dxa"/>
          </w:tcPr>
          <w:p w14:paraId="75C28DC9" w14:textId="77777777" w:rsidR="00614CA9" w:rsidRPr="00481601" w:rsidRDefault="00614CA9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3C644AA" w14:textId="77777777" w:rsidR="00614CA9" w:rsidRPr="00481601" w:rsidRDefault="00614CA9" w:rsidP="00E875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22D815E" w14:textId="77777777" w:rsidR="00A7007A" w:rsidRPr="00481601" w:rsidRDefault="00A7007A" w:rsidP="00F77AE4">
      <w:pPr>
        <w:pStyle w:val="NormalWeb"/>
        <w:spacing w:before="0" w:beforeAutospacing="0" w:after="0" w:afterAutospacing="0"/>
        <w:jc w:val="both"/>
        <w:rPr>
          <w:color w:val="FF0000"/>
        </w:rPr>
      </w:pPr>
    </w:p>
    <w:sectPr w:rsidR="00A7007A" w:rsidRPr="00481601" w:rsidSect="00760BE5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014E"/>
    <w:multiLevelType w:val="hybridMultilevel"/>
    <w:tmpl w:val="65365418"/>
    <w:lvl w:ilvl="0" w:tplc="505A064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086A9C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2245A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263254"/>
    <w:multiLevelType w:val="hybridMultilevel"/>
    <w:tmpl w:val="E93C3332"/>
    <w:lvl w:ilvl="0" w:tplc="1E283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73CF2"/>
    <w:multiLevelType w:val="hybridMultilevel"/>
    <w:tmpl w:val="8D58E50C"/>
    <w:lvl w:ilvl="0" w:tplc="C9846C7E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2" w:hanging="360"/>
      </w:pPr>
    </w:lvl>
    <w:lvl w:ilvl="2" w:tplc="0416001B" w:tentative="1">
      <w:start w:val="1"/>
      <w:numFmt w:val="lowerRoman"/>
      <w:lvlText w:val="%3."/>
      <w:lvlJc w:val="right"/>
      <w:pPr>
        <w:ind w:left="3932" w:hanging="180"/>
      </w:pPr>
    </w:lvl>
    <w:lvl w:ilvl="3" w:tplc="0416000F" w:tentative="1">
      <w:start w:val="1"/>
      <w:numFmt w:val="decimal"/>
      <w:lvlText w:val="%4."/>
      <w:lvlJc w:val="left"/>
      <w:pPr>
        <w:ind w:left="4652" w:hanging="360"/>
      </w:pPr>
    </w:lvl>
    <w:lvl w:ilvl="4" w:tplc="04160019" w:tentative="1">
      <w:start w:val="1"/>
      <w:numFmt w:val="lowerLetter"/>
      <w:lvlText w:val="%5."/>
      <w:lvlJc w:val="left"/>
      <w:pPr>
        <w:ind w:left="5372" w:hanging="360"/>
      </w:pPr>
    </w:lvl>
    <w:lvl w:ilvl="5" w:tplc="0416001B" w:tentative="1">
      <w:start w:val="1"/>
      <w:numFmt w:val="lowerRoman"/>
      <w:lvlText w:val="%6."/>
      <w:lvlJc w:val="right"/>
      <w:pPr>
        <w:ind w:left="6092" w:hanging="180"/>
      </w:pPr>
    </w:lvl>
    <w:lvl w:ilvl="6" w:tplc="0416000F" w:tentative="1">
      <w:start w:val="1"/>
      <w:numFmt w:val="decimal"/>
      <w:lvlText w:val="%7."/>
      <w:lvlJc w:val="left"/>
      <w:pPr>
        <w:ind w:left="6812" w:hanging="360"/>
      </w:pPr>
    </w:lvl>
    <w:lvl w:ilvl="7" w:tplc="04160019" w:tentative="1">
      <w:start w:val="1"/>
      <w:numFmt w:val="lowerLetter"/>
      <w:lvlText w:val="%8."/>
      <w:lvlJc w:val="left"/>
      <w:pPr>
        <w:ind w:left="7532" w:hanging="360"/>
      </w:pPr>
    </w:lvl>
    <w:lvl w:ilvl="8" w:tplc="0416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 w15:restartNumberingAfterBreak="0">
    <w:nsid w:val="41AE6FFF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7B57EE"/>
    <w:multiLevelType w:val="hybridMultilevel"/>
    <w:tmpl w:val="DE284A28"/>
    <w:lvl w:ilvl="0" w:tplc="C0A055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B913B2E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315F7F"/>
    <w:multiLevelType w:val="hybridMultilevel"/>
    <w:tmpl w:val="9D00A490"/>
    <w:lvl w:ilvl="0" w:tplc="EE70D9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8F5270F"/>
    <w:multiLevelType w:val="hybridMultilevel"/>
    <w:tmpl w:val="61149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16"/>
    <w:rsid w:val="000300CD"/>
    <w:rsid w:val="00031069"/>
    <w:rsid w:val="00031583"/>
    <w:rsid w:val="00033B9C"/>
    <w:rsid w:val="00036976"/>
    <w:rsid w:val="0004026B"/>
    <w:rsid w:val="000464CA"/>
    <w:rsid w:val="0005290B"/>
    <w:rsid w:val="00060500"/>
    <w:rsid w:val="00061B7B"/>
    <w:rsid w:val="00071376"/>
    <w:rsid w:val="000732E7"/>
    <w:rsid w:val="00074888"/>
    <w:rsid w:val="00081963"/>
    <w:rsid w:val="00090964"/>
    <w:rsid w:val="00096F16"/>
    <w:rsid w:val="000A5509"/>
    <w:rsid w:val="000B0D9E"/>
    <w:rsid w:val="000B3AEC"/>
    <w:rsid w:val="000B3F10"/>
    <w:rsid w:val="000C268E"/>
    <w:rsid w:val="000D553D"/>
    <w:rsid w:val="000F2804"/>
    <w:rsid w:val="000F2A10"/>
    <w:rsid w:val="0011261B"/>
    <w:rsid w:val="00130340"/>
    <w:rsid w:val="00155A64"/>
    <w:rsid w:val="001735BA"/>
    <w:rsid w:val="00176C0C"/>
    <w:rsid w:val="00176EF2"/>
    <w:rsid w:val="001958BB"/>
    <w:rsid w:val="001A359B"/>
    <w:rsid w:val="001A4D3D"/>
    <w:rsid w:val="001B2C9A"/>
    <w:rsid w:val="001C0325"/>
    <w:rsid w:val="001C1436"/>
    <w:rsid w:val="001C2185"/>
    <w:rsid w:val="001D59F8"/>
    <w:rsid w:val="001E52F8"/>
    <w:rsid w:val="001F3F27"/>
    <w:rsid w:val="001F462B"/>
    <w:rsid w:val="0020088B"/>
    <w:rsid w:val="00200A4F"/>
    <w:rsid w:val="002033BB"/>
    <w:rsid w:val="0020511C"/>
    <w:rsid w:val="002151A8"/>
    <w:rsid w:val="0021630C"/>
    <w:rsid w:val="00221465"/>
    <w:rsid w:val="00221EBA"/>
    <w:rsid w:val="0023458C"/>
    <w:rsid w:val="00234C03"/>
    <w:rsid w:val="00237EF0"/>
    <w:rsid w:val="00241E80"/>
    <w:rsid w:val="0025607C"/>
    <w:rsid w:val="00257EB8"/>
    <w:rsid w:val="00264BBB"/>
    <w:rsid w:val="00270E63"/>
    <w:rsid w:val="0028103A"/>
    <w:rsid w:val="00286B99"/>
    <w:rsid w:val="0029011E"/>
    <w:rsid w:val="00295C8F"/>
    <w:rsid w:val="002A1A83"/>
    <w:rsid w:val="002A1D3B"/>
    <w:rsid w:val="002A23FE"/>
    <w:rsid w:val="002C7E4B"/>
    <w:rsid w:val="002D36DD"/>
    <w:rsid w:val="002D48E0"/>
    <w:rsid w:val="002D78FE"/>
    <w:rsid w:val="002E2904"/>
    <w:rsid w:val="002F0296"/>
    <w:rsid w:val="002F0A0F"/>
    <w:rsid w:val="002F574A"/>
    <w:rsid w:val="002F5974"/>
    <w:rsid w:val="00304575"/>
    <w:rsid w:val="003060BF"/>
    <w:rsid w:val="003678A7"/>
    <w:rsid w:val="00372E83"/>
    <w:rsid w:val="00377F9A"/>
    <w:rsid w:val="003A19DD"/>
    <w:rsid w:val="003B5988"/>
    <w:rsid w:val="003C3930"/>
    <w:rsid w:val="003C411A"/>
    <w:rsid w:val="003C5860"/>
    <w:rsid w:val="003C6FA8"/>
    <w:rsid w:val="003F0C6B"/>
    <w:rsid w:val="003F3552"/>
    <w:rsid w:val="003F7641"/>
    <w:rsid w:val="00421ED8"/>
    <w:rsid w:val="004343BF"/>
    <w:rsid w:val="00450183"/>
    <w:rsid w:val="0045653D"/>
    <w:rsid w:val="00457DCA"/>
    <w:rsid w:val="00475A3D"/>
    <w:rsid w:val="00481601"/>
    <w:rsid w:val="004849C6"/>
    <w:rsid w:val="0048652D"/>
    <w:rsid w:val="004964D8"/>
    <w:rsid w:val="004A083C"/>
    <w:rsid w:val="004B192E"/>
    <w:rsid w:val="004B421D"/>
    <w:rsid w:val="004F381E"/>
    <w:rsid w:val="00502990"/>
    <w:rsid w:val="00523C99"/>
    <w:rsid w:val="005312EF"/>
    <w:rsid w:val="00531382"/>
    <w:rsid w:val="005426C5"/>
    <w:rsid w:val="00543802"/>
    <w:rsid w:val="00544071"/>
    <w:rsid w:val="00552A76"/>
    <w:rsid w:val="0055494E"/>
    <w:rsid w:val="00567D75"/>
    <w:rsid w:val="00570C75"/>
    <w:rsid w:val="00573B11"/>
    <w:rsid w:val="005779A9"/>
    <w:rsid w:val="0058643D"/>
    <w:rsid w:val="00592D46"/>
    <w:rsid w:val="005968AD"/>
    <w:rsid w:val="005A1F0F"/>
    <w:rsid w:val="005A25E2"/>
    <w:rsid w:val="005A2D0B"/>
    <w:rsid w:val="005B127F"/>
    <w:rsid w:val="005B1938"/>
    <w:rsid w:val="005B1FC9"/>
    <w:rsid w:val="005C64A8"/>
    <w:rsid w:val="005D2D98"/>
    <w:rsid w:val="005E19AE"/>
    <w:rsid w:val="005E5CDA"/>
    <w:rsid w:val="005F1C4D"/>
    <w:rsid w:val="005F515A"/>
    <w:rsid w:val="00610D85"/>
    <w:rsid w:val="006114A5"/>
    <w:rsid w:val="00614CA9"/>
    <w:rsid w:val="006269F0"/>
    <w:rsid w:val="00627BDD"/>
    <w:rsid w:val="006454B6"/>
    <w:rsid w:val="006457DB"/>
    <w:rsid w:val="00647AB0"/>
    <w:rsid w:val="00657A7B"/>
    <w:rsid w:val="006656F5"/>
    <w:rsid w:val="0066637A"/>
    <w:rsid w:val="006967CD"/>
    <w:rsid w:val="006B0B15"/>
    <w:rsid w:val="006B0E42"/>
    <w:rsid w:val="006B4E52"/>
    <w:rsid w:val="006C5D2D"/>
    <w:rsid w:val="006C6C0F"/>
    <w:rsid w:val="006D4C16"/>
    <w:rsid w:val="006E2FE8"/>
    <w:rsid w:val="00702AD7"/>
    <w:rsid w:val="00705B45"/>
    <w:rsid w:val="00711066"/>
    <w:rsid w:val="00733242"/>
    <w:rsid w:val="0074419E"/>
    <w:rsid w:val="00746345"/>
    <w:rsid w:val="00751A59"/>
    <w:rsid w:val="00760AD1"/>
    <w:rsid w:val="00760BE5"/>
    <w:rsid w:val="00767B97"/>
    <w:rsid w:val="00793F1E"/>
    <w:rsid w:val="007A122B"/>
    <w:rsid w:val="007A450E"/>
    <w:rsid w:val="007B21AA"/>
    <w:rsid w:val="007B7AD4"/>
    <w:rsid w:val="007D43DD"/>
    <w:rsid w:val="007F18CE"/>
    <w:rsid w:val="007F7DDA"/>
    <w:rsid w:val="00820FED"/>
    <w:rsid w:val="0083587F"/>
    <w:rsid w:val="00840B12"/>
    <w:rsid w:val="00850415"/>
    <w:rsid w:val="0085209E"/>
    <w:rsid w:val="00861931"/>
    <w:rsid w:val="00872A16"/>
    <w:rsid w:val="0087552D"/>
    <w:rsid w:val="00887B6B"/>
    <w:rsid w:val="00890C4A"/>
    <w:rsid w:val="008A40C6"/>
    <w:rsid w:val="008A4D30"/>
    <w:rsid w:val="008B6E30"/>
    <w:rsid w:val="008C48F6"/>
    <w:rsid w:val="008D0933"/>
    <w:rsid w:val="008D23A4"/>
    <w:rsid w:val="008E01B8"/>
    <w:rsid w:val="008F68E4"/>
    <w:rsid w:val="0093632E"/>
    <w:rsid w:val="00942665"/>
    <w:rsid w:val="00944FA8"/>
    <w:rsid w:val="00944FB5"/>
    <w:rsid w:val="00946132"/>
    <w:rsid w:val="00983740"/>
    <w:rsid w:val="00994555"/>
    <w:rsid w:val="00996997"/>
    <w:rsid w:val="009A2D25"/>
    <w:rsid w:val="009A5EE7"/>
    <w:rsid w:val="009B3204"/>
    <w:rsid w:val="009B38D5"/>
    <w:rsid w:val="009B7FB6"/>
    <w:rsid w:val="009C10AF"/>
    <w:rsid w:val="009C6797"/>
    <w:rsid w:val="009D4451"/>
    <w:rsid w:val="009E3F57"/>
    <w:rsid w:val="009E617C"/>
    <w:rsid w:val="00A239E5"/>
    <w:rsid w:val="00A318CF"/>
    <w:rsid w:val="00A372CC"/>
    <w:rsid w:val="00A47AC2"/>
    <w:rsid w:val="00A7007A"/>
    <w:rsid w:val="00A72C6F"/>
    <w:rsid w:val="00A72FEF"/>
    <w:rsid w:val="00A74299"/>
    <w:rsid w:val="00A75039"/>
    <w:rsid w:val="00A92232"/>
    <w:rsid w:val="00A9379E"/>
    <w:rsid w:val="00AD279E"/>
    <w:rsid w:val="00AD4D16"/>
    <w:rsid w:val="00B039ED"/>
    <w:rsid w:val="00B045B4"/>
    <w:rsid w:val="00B06171"/>
    <w:rsid w:val="00B165C8"/>
    <w:rsid w:val="00B24BFE"/>
    <w:rsid w:val="00B27FFE"/>
    <w:rsid w:val="00B32006"/>
    <w:rsid w:val="00B4188E"/>
    <w:rsid w:val="00B57DC1"/>
    <w:rsid w:val="00B61B66"/>
    <w:rsid w:val="00B65686"/>
    <w:rsid w:val="00B96BDE"/>
    <w:rsid w:val="00BA3FF1"/>
    <w:rsid w:val="00BB10F7"/>
    <w:rsid w:val="00BB15DB"/>
    <w:rsid w:val="00BB4B28"/>
    <w:rsid w:val="00BC71AF"/>
    <w:rsid w:val="00BD40BB"/>
    <w:rsid w:val="00BD468E"/>
    <w:rsid w:val="00BD7D32"/>
    <w:rsid w:val="00BE392B"/>
    <w:rsid w:val="00BE3D11"/>
    <w:rsid w:val="00BE78B6"/>
    <w:rsid w:val="00BF64A4"/>
    <w:rsid w:val="00C00721"/>
    <w:rsid w:val="00C0139F"/>
    <w:rsid w:val="00C03395"/>
    <w:rsid w:val="00C03BF8"/>
    <w:rsid w:val="00C11B4F"/>
    <w:rsid w:val="00C223BA"/>
    <w:rsid w:val="00C4773A"/>
    <w:rsid w:val="00C633C6"/>
    <w:rsid w:val="00C72866"/>
    <w:rsid w:val="00C84C99"/>
    <w:rsid w:val="00C90384"/>
    <w:rsid w:val="00CA4BB7"/>
    <w:rsid w:val="00CB746E"/>
    <w:rsid w:val="00CD6D92"/>
    <w:rsid w:val="00CE46BD"/>
    <w:rsid w:val="00CE613B"/>
    <w:rsid w:val="00CF2F80"/>
    <w:rsid w:val="00CF5911"/>
    <w:rsid w:val="00CF714B"/>
    <w:rsid w:val="00D0590B"/>
    <w:rsid w:val="00D1046B"/>
    <w:rsid w:val="00D127A7"/>
    <w:rsid w:val="00D163C8"/>
    <w:rsid w:val="00D171E2"/>
    <w:rsid w:val="00D25D1F"/>
    <w:rsid w:val="00D34117"/>
    <w:rsid w:val="00D56ED5"/>
    <w:rsid w:val="00D572F3"/>
    <w:rsid w:val="00D57C38"/>
    <w:rsid w:val="00D6041A"/>
    <w:rsid w:val="00D6588E"/>
    <w:rsid w:val="00D712E6"/>
    <w:rsid w:val="00D743A2"/>
    <w:rsid w:val="00D75B60"/>
    <w:rsid w:val="00D8678C"/>
    <w:rsid w:val="00D9152B"/>
    <w:rsid w:val="00D96093"/>
    <w:rsid w:val="00DA26FF"/>
    <w:rsid w:val="00DA47BA"/>
    <w:rsid w:val="00DB174C"/>
    <w:rsid w:val="00DB242F"/>
    <w:rsid w:val="00DB4A2E"/>
    <w:rsid w:val="00DC43EA"/>
    <w:rsid w:val="00DD09F8"/>
    <w:rsid w:val="00DD72B5"/>
    <w:rsid w:val="00DD74F7"/>
    <w:rsid w:val="00E324A1"/>
    <w:rsid w:val="00E33914"/>
    <w:rsid w:val="00E554A5"/>
    <w:rsid w:val="00E5726C"/>
    <w:rsid w:val="00E83D62"/>
    <w:rsid w:val="00E8758F"/>
    <w:rsid w:val="00E87FC9"/>
    <w:rsid w:val="00EA7A41"/>
    <w:rsid w:val="00EB685D"/>
    <w:rsid w:val="00EC0A5D"/>
    <w:rsid w:val="00ED3294"/>
    <w:rsid w:val="00ED553A"/>
    <w:rsid w:val="00ED75A3"/>
    <w:rsid w:val="00EE1F92"/>
    <w:rsid w:val="00EF2214"/>
    <w:rsid w:val="00EF7C16"/>
    <w:rsid w:val="00F00213"/>
    <w:rsid w:val="00F00C2C"/>
    <w:rsid w:val="00F022E6"/>
    <w:rsid w:val="00F07548"/>
    <w:rsid w:val="00F107D9"/>
    <w:rsid w:val="00F16A2F"/>
    <w:rsid w:val="00F227C2"/>
    <w:rsid w:val="00F2284F"/>
    <w:rsid w:val="00F3297C"/>
    <w:rsid w:val="00F40786"/>
    <w:rsid w:val="00F41EB6"/>
    <w:rsid w:val="00F53CE3"/>
    <w:rsid w:val="00F77AE4"/>
    <w:rsid w:val="00F97A00"/>
    <w:rsid w:val="00FA06E1"/>
    <w:rsid w:val="00FA3439"/>
    <w:rsid w:val="00FB32B3"/>
    <w:rsid w:val="00FD3F9D"/>
    <w:rsid w:val="00FE0B9F"/>
    <w:rsid w:val="00FE4AA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F8BF"/>
  <w15:docId w15:val="{1DB39FA5-79EE-4521-9E83-C0E7701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2A16"/>
    <w:pPr>
      <w:ind w:left="1800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2A1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72A1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72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72A1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2A16"/>
    <w:rPr>
      <w:color w:val="0000FF"/>
      <w:u w:val="single"/>
    </w:rPr>
  </w:style>
  <w:style w:type="paragraph" w:customStyle="1" w:styleId="western">
    <w:name w:val="western"/>
    <w:basedOn w:val="Normal"/>
    <w:rsid w:val="006C6C0F"/>
    <w:pPr>
      <w:spacing w:before="100" w:beforeAutospacing="1" w:after="119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1B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B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1E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1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12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12E6"/>
    <w:rPr>
      <w:rFonts w:ascii="Calibri" w:hAnsi="Calibri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074888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07488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F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1ate9">
    <w:name w:val="artigo_1_ate_9º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8">
    <w:name w:val="tabela_texto_8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257E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57EB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E1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9A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9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9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centralizadomaiusculasnegrito">
    <w:name w:val="texto_centralizado_maiusculas_negrito"/>
    <w:basedOn w:val="Normal"/>
    <w:rsid w:val="00543802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C72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9DFF-9D9D-4859-8F78-F8721A7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1430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SUSEP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robertoss</dc:creator>
  <cp:lastModifiedBy>Carlos Eduardo</cp:lastModifiedBy>
  <cp:revision>2</cp:revision>
  <cp:lastPrinted>2016-05-19T13:03:00Z</cp:lastPrinted>
  <dcterms:created xsi:type="dcterms:W3CDTF">2020-05-22T22:23:00Z</dcterms:created>
  <dcterms:modified xsi:type="dcterms:W3CDTF">2020-05-22T22:23:00Z</dcterms:modified>
</cp:coreProperties>
</file>