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6192"/>
        <w:gridCol w:w="3888"/>
        <w:gridCol w:w="4062"/>
      </w:tblGrid>
      <w:tr w:rsidR="0049486E" w:rsidRPr="00EB3CED" w:rsidTr="006D6FA7">
        <w:tc>
          <w:tcPr>
            <w:tcW w:w="6192" w:type="dxa"/>
          </w:tcPr>
          <w:p w:rsidR="0049486E" w:rsidRPr="00201B94" w:rsidRDefault="0049486E" w:rsidP="006D6F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01B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MINUTA</w:t>
            </w:r>
          </w:p>
        </w:tc>
        <w:tc>
          <w:tcPr>
            <w:tcW w:w="3888" w:type="dxa"/>
          </w:tcPr>
          <w:p w:rsidR="0049486E" w:rsidRPr="00201B94" w:rsidRDefault="0049486E" w:rsidP="006D6F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B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SUGESTÕES</w:t>
            </w:r>
          </w:p>
        </w:tc>
        <w:tc>
          <w:tcPr>
            <w:tcW w:w="4062" w:type="dxa"/>
          </w:tcPr>
          <w:p w:rsidR="0049486E" w:rsidRPr="00201B94" w:rsidRDefault="0049486E" w:rsidP="006D6F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1B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JUSTIFICATIVAS</w:t>
            </w:r>
          </w:p>
        </w:tc>
      </w:tr>
      <w:tr w:rsidR="0049486E" w:rsidRPr="00EB3CED" w:rsidTr="00E90E48">
        <w:trPr>
          <w:trHeight w:val="282"/>
        </w:trPr>
        <w:tc>
          <w:tcPr>
            <w:tcW w:w="619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201B94" w:rsidRDefault="006D6FA7" w:rsidP="00E90E48">
            <w:pPr>
              <w:pStyle w:val="Ttulo1"/>
              <w:rPr>
                <w:rFonts w:eastAsia="Times New Roman"/>
                <w:b w:val="0"/>
                <w:bCs/>
                <w:sz w:val="24"/>
                <w:szCs w:val="24"/>
                <w:lang w:eastAsia="pt-BR"/>
              </w:rPr>
            </w:pPr>
            <w:r w:rsidRPr="00201B94">
              <w:rPr>
                <w:sz w:val="24"/>
                <w:szCs w:val="24"/>
              </w:rPr>
              <w:t>RESOLUÇÃO CNSP Nº       , DE 2017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pStyle w:val="Default"/>
              <w:jc w:val="center"/>
              <w:rPr>
                <w:color w:val="auto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49486E">
            <w:pPr>
              <w:spacing w:before="100" w:beforeAutospacing="1" w:after="100" w:afterAutospacing="1"/>
              <w:ind w:left="-7" w:firstLine="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rPr>
          <w:trHeight w:val="1595"/>
        </w:trPr>
        <w:tc>
          <w:tcPr>
            <w:tcW w:w="6192" w:type="dxa"/>
          </w:tcPr>
          <w:tbl>
            <w:tblPr>
              <w:tblW w:w="5976" w:type="dxa"/>
              <w:jc w:val="center"/>
              <w:tblCellSpacing w:w="15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5976"/>
            </w:tblGrid>
            <w:tr w:rsidR="0049486E" w:rsidRPr="0049486E" w:rsidTr="006D6FA7">
              <w:trPr>
                <w:trHeight w:val="897"/>
                <w:tblCellSpacing w:w="15" w:type="dxa"/>
                <w:jc w:val="center"/>
              </w:trPr>
              <w:tc>
                <w:tcPr>
                  <w:tcW w:w="4950" w:type="pct"/>
                  <w:vAlign w:val="center"/>
                  <w:hideMark/>
                </w:tcPr>
                <w:p w:rsidR="006D6FA7" w:rsidRPr="006D6FA7" w:rsidRDefault="0049486E" w:rsidP="00201B94">
                  <w:pPr>
                    <w:spacing w:before="100" w:beforeAutospacing="1" w:after="100" w:afterAutospacing="1" w:line="240" w:lineRule="auto"/>
                    <w:ind w:left="-30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t-BR"/>
                    </w:rPr>
                  </w:pPr>
                  <w:r w:rsidRPr="006D6F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 xml:space="preserve">Dispõe </w:t>
                  </w:r>
                  <w:r w:rsidR="006D6FA7" w:rsidRPr="006D6FA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sobre as regras de funcionamento e os critérios para operação de seguros coletivos de acidentes pessoais com dispensa de proposta de adesão</w:t>
                  </w:r>
                  <w:r w:rsidR="006D6FA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49486E">
            <w:pPr>
              <w:spacing w:before="100" w:beforeAutospacing="1" w:after="100" w:afterAutospacing="1"/>
              <w:ind w:left="-7" w:firstLine="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9486E" w:rsidRPr="00EB3CED" w:rsidTr="00E90E48">
        <w:trPr>
          <w:trHeight w:val="222"/>
        </w:trPr>
        <w:tc>
          <w:tcPr>
            <w:tcW w:w="619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6D6FA7" w:rsidRPr="004C6217" w:rsidRDefault="006D6FA7" w:rsidP="006D6FA7">
            <w:pPr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4C6217">
              <w:rPr>
                <w:rFonts w:ascii="Times New Roman" w:hAnsi="Times New Roman"/>
                <w:b/>
                <w:bCs/>
                <w:sz w:val="24"/>
                <w:szCs w:val="23"/>
              </w:rPr>
              <w:t>A SUPERINTENDÊNCIA DE SEGUROS PRIVADOS –SUSEP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>, no uso da atribuição que lhe confere o art. 34, inciso XI, do Decreto nº</w:t>
            </w:r>
            <w:r w:rsidRPr="004C6217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>60.459, de 13 de março de l967, e considerando o inteiro teor do Processo CNSP nº</w:t>
            </w:r>
            <w:r w:rsidRPr="004C6217">
              <w:rPr>
                <w:rFonts w:ascii="Times New Roman" w:hAnsi="Times New Roman"/>
                <w:sz w:val="24"/>
                <w:szCs w:val="16"/>
              </w:rPr>
              <w:t xml:space="preserve"> nn/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>de 201</w:t>
            </w:r>
            <w:r>
              <w:rPr>
                <w:rFonts w:ascii="Times New Roman" w:hAnsi="Times New Roman"/>
                <w:sz w:val="24"/>
                <w:szCs w:val="23"/>
              </w:rPr>
              <w:t>7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 xml:space="preserve"> - na origem, e SUSEP n</w:t>
            </w:r>
            <w:r w:rsidRPr="004C6217">
              <w:rPr>
                <w:rFonts w:ascii="Times New Roman" w:hAnsi="Times New Roman"/>
                <w:sz w:val="24"/>
                <w:szCs w:val="16"/>
              </w:rPr>
              <w:t xml:space="preserve">o 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>15414.</w:t>
            </w:r>
            <w:r>
              <w:rPr>
                <w:rFonts w:ascii="Times New Roman" w:hAnsi="Times New Roman"/>
                <w:sz w:val="24"/>
                <w:szCs w:val="23"/>
              </w:rPr>
              <w:t>001719/2015-68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 xml:space="preserve">, torna público que o </w:t>
            </w:r>
            <w:r w:rsidRPr="004C6217">
              <w:rPr>
                <w:rFonts w:ascii="Times New Roman" w:hAnsi="Times New Roman"/>
                <w:b/>
                <w:bCs/>
                <w:sz w:val="24"/>
                <w:szCs w:val="23"/>
              </w:rPr>
              <w:t>CONSELHO NACIONAL DE SEGUROS PRIVADOS – CNSP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>, em sessão ordinária realizada em dd de mmmmmm de 201</w:t>
            </w:r>
            <w:r>
              <w:rPr>
                <w:rFonts w:ascii="Times New Roman" w:hAnsi="Times New Roman"/>
                <w:sz w:val="24"/>
                <w:szCs w:val="23"/>
              </w:rPr>
              <w:t>7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 xml:space="preserve">, na forma do que estabelece o </w:t>
            </w:r>
            <w:r>
              <w:rPr>
                <w:rFonts w:ascii="Times New Roman" w:hAnsi="Times New Roman"/>
                <w:sz w:val="24"/>
                <w:szCs w:val="23"/>
              </w:rPr>
              <w:t>inciso IV do artigo 32,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 xml:space="preserve"> do Decreto-lei nº</w:t>
            </w:r>
            <w:r w:rsidRPr="004C6217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4C6217">
              <w:rPr>
                <w:rFonts w:ascii="Times New Roman" w:hAnsi="Times New Roman"/>
                <w:sz w:val="24"/>
                <w:szCs w:val="23"/>
              </w:rPr>
              <w:t>73, de 21 de novembro de 1966.</w:t>
            </w:r>
          </w:p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pt-BR"/>
              </w:rPr>
              <w:t>RESOLVE: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pStyle w:val="PargrafodaLista"/>
              <w:numPr>
                <w:ilvl w:val="0"/>
                <w:numId w:val="1"/>
              </w:numPr>
              <w:ind w:left="0" w:firstLine="29"/>
              <w:jc w:val="both"/>
              <w:rPr>
                <w:szCs w:val="24"/>
              </w:rPr>
            </w:pPr>
            <w:r w:rsidRPr="00F24268">
              <w:rPr>
                <w:b w:val="0"/>
                <w:szCs w:val="24"/>
              </w:rPr>
              <w:t>Dispor sobre</w:t>
            </w:r>
            <w:r w:rsidRPr="00F24268">
              <w:rPr>
                <w:b w:val="0"/>
              </w:rPr>
              <w:t xml:space="preserve"> as regras de funcionamento e os critérios para operação de seguros coletivos de acidentes pessoais com dispensa de proposta de adesão</w:t>
            </w:r>
            <w:r>
              <w:rPr>
                <w:b w:val="0"/>
              </w:rPr>
              <w:t>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pStyle w:val="PargrafodaLista"/>
              <w:numPr>
                <w:ilvl w:val="0"/>
                <w:numId w:val="1"/>
              </w:numPr>
              <w:ind w:left="0" w:firstLine="29"/>
              <w:jc w:val="both"/>
              <w:rPr>
                <w:szCs w:val="24"/>
              </w:rPr>
            </w:pPr>
            <w:r w:rsidRPr="006D6FA7">
              <w:rPr>
                <w:b w:val="0"/>
                <w:szCs w:val="24"/>
              </w:rPr>
              <w:t>É admitida a dispensa de preenchimento e assinatura da proposta de adesão nos seguros de pessoas que apresentem, simultaneamente, as características abaixo: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 – sejam coletivos;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48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II – ofereçam somente coberturas decorrentes de acidentes pessoais;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III – sejam não-contributários; e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IV – cubram riscos em um espaço geográfico com delimitação de área perfeitamente identificada na apólice de seguro – tais como, mas não se limitando a: arenas, estádios, parques de exposições, rodovias, centros de convenções, praças, museus etc. – e restritos ao período de permanência do segurado em tais localidades, conforme especificado na apólice de seguro.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§ 1º É vedada a estruturação de planos de seguro cujo âmbito geográfico seja cidades, estados ou países inteiros, ou o globo terrestre.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2º Deverá estar caracterizada a impossibilidade operacional de recolhimento de dados e assinatura dos segurados ou, ainda, a falta de conhecimento prévio da identidade de cada segurado.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§ 3º Os segurados devem ser usuários temporários dos serviços prestados ou eventos promovidos pelo estipulante.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§ 4º É vedado que empregados, prestadores de serviço, sócios, associados, membros e alunos do estipulante figurem como segurados no seguro de que trata o caput.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6D6FA7" w:rsidRDefault="006D6FA7" w:rsidP="006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Art.3º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Quando dispensado o preenchimento e a assinatura da proposta de adesão, nos termos do artigo 1º desta Resolução, fica também dispensada a 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ssão do certificado individual.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6D6FA7" w:rsidRDefault="006D6FA7" w:rsidP="006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Art.4º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No caso da cobertura de morte acidental, os beneficiários do seguro de que trata esta Resolução serão aqueles especificad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no art. 792 do Código Civil.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Art.5º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Além do disposto em regulamentação específica, os contratos do seguro de que trata esta Resolução deverão conter, obrigatoriamente: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 – indicação da área/localidade de abrangência das coberturas;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II – indicação do início e fim de cobertura do risco individual;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6D6FA7" w:rsidRPr="00C962A3" w:rsidRDefault="006D6FA7" w:rsidP="006D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III – forma de apuração/estimação da quantidade de segurados da apólice;</w:t>
            </w:r>
          </w:p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IV – forma de comprovação da ocorrência do sinistro, considerando as especificidades do seguro.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V – forma de divulgação aos segurados a respeito da existência e características do seguro.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Art.6º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Deverão ser abertos processos administrativos específicos para os planos de seguro de que trata esta Resolução.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Parágrafo único. As condições gerais e a nota técnica atuarial devem contemplar as peculiaridades e a natureza do seguro que se pretende comercializar, incluindo os critérios de tarifação e de cobrança de prêmio.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Art.7º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As sociedades seguradoras se obrigam a manter à disposição da SUSEP, para análise e fiscalização, cópia dos contratos firmados e apólices emitidas com base nesta Resolução.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Parágrafo único. As sociedades seguradoras deverão estar aptas a enviar à SUSEP os arquivos solicitados, bem como a prestar quaisquer informações, no prazo máximo de 5 (cinco) dias úteis após o recebimento do pedido.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Art.8º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O descumprimento por parte das sociedades seguradoras ao disposto nesta Resolução dará ensejo à suspensão de comercialização dos planos de seguros, sem prejuízo da aplicação das penalidades cabíveis.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Art.9º</w:t>
            </w: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ab/>
              <w:t>Aos casos não previstos nesta Resolução aplicam-se as disposições legais e regulamentares em vigor.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 10. O disposto nesta norma não se aplica: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I – aos seguros obrigatórios, que deverão observar regulamentação específica;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 xml:space="preserve">II – ao seguro viagem; e 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6D6FA7" w:rsidP="006D6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 xml:space="preserve">III – ao seguro de acidentes pessoais de passageiros. 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E90E48" w:rsidP="00E90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Art. 11. Esta Resolução entra em vigor na data de sua publicação.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9486E" w:rsidRPr="00EB3CED" w:rsidTr="006D6FA7">
        <w:tc>
          <w:tcPr>
            <w:tcW w:w="6192" w:type="dxa"/>
          </w:tcPr>
          <w:p w:rsidR="00E90E48" w:rsidRPr="00C962A3" w:rsidRDefault="00E90E48" w:rsidP="00E9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48">
              <w:rPr>
                <w:rFonts w:ascii="Times New Roman" w:hAnsi="Times New Roman" w:cs="Times New Roman"/>
                <w:b/>
                <w:sz w:val="24"/>
                <w:szCs w:val="24"/>
              </w:rPr>
              <w:t>JOAQUIM MENDANHA DE ATAIDES</w:t>
            </w:r>
          </w:p>
          <w:p w:rsidR="0049486E" w:rsidRPr="00E90E48" w:rsidRDefault="00E90E48" w:rsidP="00E9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A3">
              <w:rPr>
                <w:rFonts w:ascii="Times New Roman" w:hAnsi="Times New Roman" w:cs="Times New Roman"/>
                <w:sz w:val="24"/>
                <w:szCs w:val="24"/>
              </w:rPr>
              <w:t>Superintendente</w:t>
            </w:r>
          </w:p>
        </w:tc>
        <w:tc>
          <w:tcPr>
            <w:tcW w:w="3888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2" w:type="dxa"/>
          </w:tcPr>
          <w:p w:rsidR="0049486E" w:rsidRPr="00EB3CED" w:rsidRDefault="0049486E" w:rsidP="006D6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A0D0E" w:rsidRDefault="00BA0D0E" w:rsidP="0049486E"/>
    <w:sectPr w:rsidR="00BA0D0E" w:rsidSect="004948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8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 w15:restartNumberingAfterBreak="0">
    <w:nsid w:val="52827B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E"/>
    <w:rsid w:val="00201B94"/>
    <w:rsid w:val="0049486E"/>
    <w:rsid w:val="006D6FA7"/>
    <w:rsid w:val="00933AC8"/>
    <w:rsid w:val="00BA0D0E"/>
    <w:rsid w:val="00E90E48"/>
    <w:rsid w:val="00EB3CED"/>
    <w:rsid w:val="00F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54F6-88F3-4302-91F0-20CBA037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spacoduplorecuoprimeiralinha">
    <w:name w:val="texto_espaco_dupl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b/>
      <w:bCs/>
      <w:spacing w:val="48"/>
      <w:lang w:eastAsia="pt-BR"/>
    </w:rPr>
  </w:style>
  <w:style w:type="paragraph" w:customStyle="1" w:styleId="textojustificadorecuoprimeiralinha">
    <w:name w:val="texto_justificad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49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486E"/>
    <w:rPr>
      <w:i/>
      <w:iCs/>
    </w:rPr>
  </w:style>
  <w:style w:type="character" w:styleId="Forte">
    <w:name w:val="Strong"/>
    <w:basedOn w:val="Fontepargpadro"/>
    <w:uiPriority w:val="22"/>
    <w:qFormat/>
    <w:rsid w:val="0049486E"/>
    <w:rPr>
      <w:b/>
      <w:bCs/>
    </w:rPr>
  </w:style>
  <w:style w:type="table" w:styleId="Tabelacomgrade">
    <w:name w:val="Table Grid"/>
    <w:basedOn w:val="Tabelanormal"/>
    <w:uiPriority w:val="59"/>
    <w:rsid w:val="0049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6D6FA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6F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6FA7"/>
  </w:style>
  <w:style w:type="paragraph" w:styleId="PargrafodaLista">
    <w:name w:val="List Paragraph"/>
    <w:basedOn w:val="Normal"/>
    <w:uiPriority w:val="34"/>
    <w:qFormat/>
    <w:rsid w:val="006D6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carlosm</dc:creator>
  <cp:lastModifiedBy>Marcos José Lima</cp:lastModifiedBy>
  <cp:revision>2</cp:revision>
  <cp:lastPrinted>2017-07-06T12:47:00Z</cp:lastPrinted>
  <dcterms:created xsi:type="dcterms:W3CDTF">2017-07-06T13:23:00Z</dcterms:created>
  <dcterms:modified xsi:type="dcterms:W3CDTF">2017-07-06T13:23:00Z</dcterms:modified>
</cp:coreProperties>
</file>