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E5" w:rsidRPr="005D2D98" w:rsidRDefault="00760BE5" w:rsidP="00760BE5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5D2D98">
        <w:rPr>
          <w:rFonts w:asciiTheme="minorHAnsi" w:hAnsiTheme="minorHAnsi"/>
          <w:b/>
          <w:bCs/>
          <w:sz w:val="24"/>
          <w:szCs w:val="24"/>
        </w:rPr>
        <w:t>QUADRO DE SUGESTÕES</w:t>
      </w:r>
    </w:p>
    <w:p w:rsidR="00760BE5" w:rsidRPr="00304575" w:rsidRDefault="00760BE5" w:rsidP="00760BE5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5735" w:type="dxa"/>
        <w:tblInd w:w="-998" w:type="dxa"/>
        <w:tblLook w:val="04A0" w:firstRow="1" w:lastRow="0" w:firstColumn="1" w:lastColumn="0" w:noHBand="0" w:noVBand="1"/>
      </w:tblPr>
      <w:tblGrid>
        <w:gridCol w:w="4112"/>
        <w:gridCol w:w="5528"/>
        <w:gridCol w:w="6095"/>
      </w:tblGrid>
      <w:tr w:rsidR="00760BE5" w:rsidRPr="00F77AE4" w:rsidTr="002E4545">
        <w:trPr>
          <w:trHeight w:hRule="exact" w:val="340"/>
        </w:trPr>
        <w:tc>
          <w:tcPr>
            <w:tcW w:w="15735" w:type="dxa"/>
            <w:gridSpan w:val="3"/>
          </w:tcPr>
          <w:p w:rsidR="00760BE5" w:rsidRDefault="00760BE5" w:rsidP="002E4545">
            <w:pPr>
              <w:autoSpaceDE w:val="0"/>
              <w:autoSpaceDN w:val="0"/>
              <w:adjustRightInd w:val="0"/>
              <w:jc w:val="center"/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4"/>
                <w:szCs w:val="24"/>
                <w:lang w:eastAsia="en-US"/>
              </w:rPr>
              <w:t>QUADRO PADRONIZADO PARA APRESENTAÇÃO DE SUGESTÕES E COMENTÁRIOS</w:t>
            </w:r>
          </w:p>
          <w:p w:rsidR="00760BE5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60BE5" w:rsidRPr="00F77AE4" w:rsidTr="002E4545">
        <w:trPr>
          <w:trHeight w:hRule="exact" w:val="567"/>
        </w:trPr>
        <w:tc>
          <w:tcPr>
            <w:tcW w:w="15735" w:type="dxa"/>
            <w:gridSpan w:val="3"/>
            <w:vAlign w:val="center"/>
          </w:tcPr>
          <w:p w:rsidR="00760BE5" w:rsidRDefault="00760BE5" w:rsidP="002E4545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Remetente:</w:t>
            </w:r>
          </w:p>
          <w:p w:rsidR="00760BE5" w:rsidRDefault="00760BE5" w:rsidP="002E454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4"/>
                <w:szCs w:val="24"/>
                <w:lang w:eastAsia="en-US"/>
              </w:rPr>
              <w:t>Signatário:</w:t>
            </w:r>
          </w:p>
        </w:tc>
      </w:tr>
      <w:tr w:rsidR="00760BE5" w:rsidRPr="00F77AE4" w:rsidTr="002E4545">
        <w:trPr>
          <w:trHeight w:hRule="exact" w:val="284"/>
        </w:trPr>
        <w:tc>
          <w:tcPr>
            <w:tcW w:w="4112" w:type="dxa"/>
          </w:tcPr>
          <w:p w:rsidR="00760BE5" w:rsidRPr="005D2D98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MINUTA</w:t>
            </w:r>
          </w:p>
        </w:tc>
        <w:tc>
          <w:tcPr>
            <w:tcW w:w="5528" w:type="dxa"/>
          </w:tcPr>
          <w:p w:rsidR="00760BE5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SUGESTÕES</w:t>
            </w:r>
          </w:p>
        </w:tc>
        <w:tc>
          <w:tcPr>
            <w:tcW w:w="6095" w:type="dxa"/>
          </w:tcPr>
          <w:p w:rsidR="00760BE5" w:rsidRDefault="00760BE5" w:rsidP="002E454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JUSTIFICATIVAS</w:t>
            </w:r>
          </w:p>
        </w:tc>
      </w:tr>
      <w:tr w:rsidR="00A9379E" w:rsidRPr="00F77AE4" w:rsidTr="00A9379E">
        <w:trPr>
          <w:trHeight w:val="862"/>
        </w:trPr>
        <w:tc>
          <w:tcPr>
            <w:tcW w:w="4112" w:type="dxa"/>
          </w:tcPr>
          <w:p w:rsidR="00A9379E" w:rsidRPr="005D2D98" w:rsidRDefault="005E19AE" w:rsidP="00760BE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RESOLUÇÃO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CNSP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N.º</w:t>
            </w:r>
            <w:r w:rsidR="00760BE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___, 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 </w:t>
            </w:r>
            <w:r w:rsidR="00760BE5">
              <w:rPr>
                <w:rFonts w:asciiTheme="minorHAnsi" w:hAnsiTheme="minorHAnsi"/>
                <w:b/>
                <w:bCs/>
                <w:sz w:val="24"/>
                <w:szCs w:val="24"/>
              </w:rPr>
              <w:t>____</w:t>
            </w:r>
            <w:r w:rsidR="00A9379E" w:rsidRPr="005D2D98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9379E" w:rsidRPr="005D2D98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A9379E" w:rsidRPr="005D2D98" w:rsidRDefault="00A9379E" w:rsidP="006114A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57EB8" w:rsidRPr="00F77AE4" w:rsidTr="000B3AEC">
        <w:trPr>
          <w:trHeight w:val="2098"/>
        </w:trPr>
        <w:tc>
          <w:tcPr>
            <w:tcW w:w="4112" w:type="dxa"/>
          </w:tcPr>
          <w:p w:rsidR="005E19AE" w:rsidRPr="005E19AE" w:rsidRDefault="005E19AE" w:rsidP="005E19AE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Estabelece a segmentação das sociedades seguradoras, sociedades de capitalização, resseguradores locais e entidades abertas de previdência complementar (</w:t>
            </w:r>
            <w:proofErr w:type="spellStart"/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EAPCs</w:t>
            </w:r>
            <w:proofErr w:type="spellEnd"/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) para fins de aplicação proporcional da regulação prudencial.</w:t>
            </w:r>
          </w:p>
        </w:tc>
        <w:tc>
          <w:tcPr>
            <w:tcW w:w="5528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EB8" w:rsidRPr="00F77AE4" w:rsidTr="000B3AEC">
        <w:trPr>
          <w:trHeight w:val="2098"/>
        </w:trPr>
        <w:tc>
          <w:tcPr>
            <w:tcW w:w="4112" w:type="dxa"/>
          </w:tcPr>
          <w:p w:rsidR="00257EB8" w:rsidRPr="005E19AE" w:rsidRDefault="005E19AE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SUPERINTENDÊNCIA DE SEGUROS PRIVADOS -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Susep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no uso da atribuição que lhe confere  o art. 34, inciso XI, do Decreto nº 60.459, de 13 de março de 1967, e considerando o que consta dos Processos CNSP nº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xxxxxxxxxxxxxxxxxx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 Susep nº 15414.631006/2019-57, torna público que o </w:t>
            </w:r>
            <w:r>
              <w:rPr>
                <w:rStyle w:val="Forte"/>
                <w:rFonts w:ascii="Calibri" w:hAnsi="Calibri"/>
                <w:color w:val="000000"/>
                <w:sz w:val="22"/>
                <w:szCs w:val="22"/>
              </w:rPr>
              <w:t>CONSELHO NACIONAL DE SEGUROS PRIVADOS - CNSP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em sessão ordinária realizada 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dezembro de 2019, e com fulcro no disposto no art. 32, inciso II, do Decreto-Lei nº 73, de 21 de novembro de 1966, nos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3º, inciso II, 37 e 74 da Lei Complem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entar nº 109, de 29 de maio de 2001, no art. 3º, § 1º, do Decreto-Lei nº 261, de 28 de fevereiro de 1967, e no art. 5º da Lei Complementar nº 126, de 15 de janeiro de 2007,</w:t>
            </w:r>
          </w:p>
        </w:tc>
        <w:tc>
          <w:tcPr>
            <w:tcW w:w="5528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57EB8" w:rsidRPr="00F77AE4" w:rsidTr="000B3AEC">
        <w:trPr>
          <w:trHeight w:val="2098"/>
        </w:trPr>
        <w:tc>
          <w:tcPr>
            <w:tcW w:w="4112" w:type="dxa"/>
          </w:tcPr>
          <w:p w:rsidR="00543802" w:rsidRPr="00543802" w:rsidRDefault="00D34117" w:rsidP="00543802">
            <w:pPr>
              <w:pStyle w:val="textojustificadorecuoprimeiralinha"/>
              <w:spacing w:before="120" w:beforeAutospacing="0" w:after="120" w:afterAutospacing="0"/>
              <w:ind w:left="119" w:right="119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438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RESOLVE</w:t>
            </w:r>
            <w:r w:rsidR="00257EB8" w:rsidRPr="005438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57EB8" w:rsidRPr="00F77AE4" w:rsidRDefault="00257EB8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43802" w:rsidP="00543802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CAPÍTULO I</w:t>
            </w:r>
          </w:p>
          <w:p w:rsidR="00543802" w:rsidRPr="00543802" w:rsidRDefault="00543802" w:rsidP="00543802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DO OBJETO E DO ESCOPO DE aPLICAÇÃO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379E" w:rsidRPr="00F77AE4" w:rsidTr="000B3AEC">
        <w:trPr>
          <w:trHeight w:val="2098"/>
        </w:trPr>
        <w:tc>
          <w:tcPr>
            <w:tcW w:w="4112" w:type="dxa"/>
          </w:tcPr>
          <w:p w:rsidR="005E19AE" w:rsidRPr="005E19AE" w:rsidRDefault="005E19AE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Art. 1º Estabelecer a segmentação das sociedades seguradoras, sociedades de capitalização, resseguradores locais e entidades abertas de previdência complementar (</w:t>
            </w:r>
            <w:proofErr w:type="spellStart"/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EAPCs</w:t>
            </w:r>
            <w:proofErr w:type="spellEnd"/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) para fins de aplicação proporcional da regulação prudencial.</w:t>
            </w:r>
          </w:p>
        </w:tc>
        <w:tc>
          <w:tcPr>
            <w:tcW w:w="5528" w:type="dxa"/>
          </w:tcPr>
          <w:p w:rsidR="00A9379E" w:rsidRPr="00F77AE4" w:rsidRDefault="00A9379E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A9379E" w:rsidRPr="00F77AE4" w:rsidRDefault="00A9379E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379E" w:rsidRPr="00F00C2C" w:rsidTr="000B3AEC">
        <w:trPr>
          <w:trHeight w:val="2098"/>
        </w:trPr>
        <w:tc>
          <w:tcPr>
            <w:tcW w:w="4112" w:type="dxa"/>
          </w:tcPr>
          <w:p w:rsidR="00A9379E" w:rsidRPr="005E19AE" w:rsidRDefault="005E19AE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§ 1º O disposto nesta Resolução não se aplica às sociedades seguradoras participantes do projeto de inovação/Susep.</w:t>
            </w:r>
          </w:p>
        </w:tc>
        <w:tc>
          <w:tcPr>
            <w:tcW w:w="5528" w:type="dxa"/>
          </w:tcPr>
          <w:p w:rsidR="00A9379E" w:rsidRPr="00F00C2C" w:rsidRDefault="00A9379E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A9379E" w:rsidRPr="00F00C2C" w:rsidRDefault="00A9379E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5E19AE" w:rsidRPr="00F77AE4" w:rsidTr="000B3AEC">
        <w:trPr>
          <w:trHeight w:val="2098"/>
        </w:trPr>
        <w:tc>
          <w:tcPr>
            <w:tcW w:w="4112" w:type="dxa"/>
          </w:tcPr>
          <w:p w:rsidR="005E19AE" w:rsidRPr="005E19AE" w:rsidRDefault="005E19AE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2º 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O CNSP e a Susep, no âmbito de suas atribuições, poderão estabelecer os requisitos prudenciais e os reportes regulatórios aplicáveis a cada segmento.</w:t>
            </w:r>
          </w:p>
        </w:tc>
        <w:tc>
          <w:tcPr>
            <w:tcW w:w="5528" w:type="dxa"/>
          </w:tcPr>
          <w:p w:rsidR="005E19AE" w:rsidRPr="00F77AE4" w:rsidRDefault="005E19AE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E19AE" w:rsidRPr="00F77AE4" w:rsidRDefault="005E19AE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§ 3º </w:t>
            </w:r>
            <w:r w:rsidRPr="00543802">
              <w:rPr>
                <w:rFonts w:ascii="Calibri" w:hAnsi="Calibri"/>
                <w:bCs/>
                <w:color w:val="000000"/>
                <w:sz w:val="22"/>
                <w:szCs w:val="22"/>
              </w:rPr>
              <w:t>Independentemente do disposto no §2º, poderão ser definidos requisitos específicos para as entidades mencionadas no </w:t>
            </w:r>
            <w:r w:rsidRPr="00543802">
              <w:rPr>
                <w:b/>
              </w:rPr>
              <w:t>caput </w:t>
            </w:r>
            <w:r w:rsidRPr="00543802">
              <w:rPr>
                <w:rFonts w:ascii="Calibri" w:hAnsi="Calibri"/>
                <w:bCs/>
                <w:color w:val="000000"/>
                <w:sz w:val="22"/>
                <w:szCs w:val="22"/>
              </w:rPr>
              <w:t>que venham a ser identificadas, de acordo com os critérios definidos pela Associação Internacional dos Supervisores de Seguros (IAIS), como membros de Grupos Seguradores Internacionalmente Ativos (</w:t>
            </w:r>
            <w:proofErr w:type="spellStart"/>
            <w:r w:rsidRPr="00543802">
              <w:rPr>
                <w:rFonts w:ascii="Calibri" w:hAnsi="Calibri"/>
                <w:bCs/>
                <w:color w:val="000000"/>
                <w:sz w:val="22"/>
                <w:szCs w:val="22"/>
              </w:rPr>
              <w:t>IAIGs</w:t>
            </w:r>
            <w:proofErr w:type="spellEnd"/>
            <w:r w:rsidRPr="00543802">
              <w:rPr>
                <w:rFonts w:ascii="Calibri" w:hAnsi="Calibri"/>
                <w:bCs/>
                <w:color w:val="000000"/>
                <w:sz w:val="22"/>
                <w:szCs w:val="22"/>
              </w:rPr>
              <w:t>) sediados no País.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43802">
              <w:rPr>
                <w:rFonts w:ascii="Calibri" w:hAnsi="Calibri"/>
                <w:bCs/>
                <w:color w:val="000000"/>
                <w:sz w:val="22"/>
                <w:szCs w:val="22"/>
              </w:rPr>
              <w:t>Art. 2º Para efeitos desta Resolução, consideram-se: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supervisionadas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: sociedades seguradoras, sociedades de capitalização, resseguradores locais e entidades abertas de previdência complementar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EAPCs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);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prêmios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a)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para os produtos de seguro e resseguro, os prêmios emitidos, conforme definição da norma contábil vigente;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b) para os produtos de previdência, as contribuições comerciais, líquidas de devoluções e cancelamentos; e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c) para produtos de capitalização, a arrecadação com títulos de capitalização, líquida de devoluções e cancelamentos.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III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parâmetros de aferição: valores de prêmios ou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provisões técnicas utilizados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para enquadramento da supervisionada nos segmentos definidos nesta Resolução, conforme disposto no art. 4º.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IV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grupo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prudencial: conjunto de supervisionadas sujeitas a um controle comum;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V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controle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: titularidade, direta ou indireta, isoladamente ou em conjunto com outros sócios, de direitos de sócio capazes de assegurar permanentemente a preponderância nas deliberações sociais e o poder de eleger ou destituir a maioria dos administradores; e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VI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controle conjunto: compartilhamento contratualmente convencionado do controle de negócio, que existe somente quando decisões sobre as atividades relevantes exigem o consentimento unânime das partes que compartilham o controle.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F00C2C" w:rsidRPr="00F00C2C" w:rsidRDefault="00F00C2C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00C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CAPÍTULO II</w:t>
            </w:r>
          </w:p>
          <w:p w:rsidR="00F00C2C" w:rsidRPr="00F00C2C" w:rsidRDefault="00F00C2C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00C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DOS SEGMENTOS</w:t>
            </w:r>
          </w:p>
          <w:p w:rsidR="00543802" w:rsidRPr="00F00C2C" w:rsidRDefault="00543802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Art. 3º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 enquadramento da supervisionada nos segmentos definidos nesta Resolução terá por base: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caso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supervisionada pertença a um grupo prudencial, os parâmetros de aferição consolidados do respectivo grupo prudencial; ou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II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caso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contrário, os parâmetros de aferição individuais da supervisionada, observadas as normas contábeis estabelecidas pela Susep.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§ 1º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Para fins do inciso I do caput, os parâmetros de aferição consolidados serão apurados através da soma dos parâmetros de aferição individuais de cada supervisionada integrante do grupo prudencial, observadas as normas contábeis estabelecidas pela Susep e os ajustes estabelecidos neste artigo.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 prêmio consolidado do grupo prudencial deverá ser deduzido dos prêmios de resseguro ou retrocessão cedidos a supervisionadas integrantes do mesmo grupo prudencial.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As provisões técnicas consolidadas do grupo prudencial deverão ser deduzidas dos ativos de resseguro ou retrocessão e dos créditos de resseguro ou retrocessão relativos a sinistros pagos cujas contrapartes sejam supervisionadas integrantes do mesmo grupo prudencial.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F00C2C" w:rsidP="00F00C2C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 caso de supervisionadas controladas em conjunto, seus parâmetros de aferição serão alocados de forma equânime aos grupos prudenciais que compartilham o controle, para fins de consolidação.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C72866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Art. 4º As supervisionadas deverão se enquadrar em um dos seguintes segmentos: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C72866" w:rsidRDefault="00C72866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- Segmento 1 (S1);</w:t>
            </w:r>
          </w:p>
          <w:p w:rsidR="00543802" w:rsidRPr="00C72866" w:rsidRDefault="00543802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C72866" w:rsidRDefault="00C72866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- Segmento 2 (S2);</w:t>
            </w:r>
          </w:p>
          <w:p w:rsidR="00543802" w:rsidRDefault="00543802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C72866" w:rsidRDefault="00C72866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- Segmento 3 (S3); ou</w:t>
            </w:r>
          </w:p>
          <w:p w:rsidR="00543802" w:rsidRDefault="00543802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C72866" w:rsidRDefault="00C72866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IV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Segmento 4 (S4).</w:t>
            </w:r>
          </w:p>
          <w:p w:rsidR="00543802" w:rsidRDefault="0054380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C72866" w:rsidP="00C72866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 S1 é composto pelas supervisionadas que, considerando o disposto no art. 3º, possuem: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C72866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provisões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técnicas iguais ou superiores a 6,0% do total de provisões técnicas de todo o mercado supervisionado pela Susep; ou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C72866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prêmios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iguais ou superiores a 9,0% do total de prêmios de todo o mercado supervisionado pela Susep.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 S2 é composto pelas supervisionadas não enquadradas em S1 que, considerando o disposto no art. 3º, possuem: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provisões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técnicas iguais ou superiores a 0,2% do total de provisões técnicas de todo o mercado supervisionado pela Susep; ou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II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prêmios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iguais ou superiores a 0,9% do total de prêmios de todo o mercado supervisionado pela Susep.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 S4 é composto pelas supervisionadas que, considerando o disposto no art. 3º, possuem: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provisões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técnicas inferiores a 0,2% do total de provisões técnicas de todo o mercado supervisionado pela Susep;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prêmios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inferiores a 0,9% do total de prêmios de todo o mercado supervisionado pela Susep;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III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apenas os investimentos especificados no inciso I do art. 8º do Regulamento Anexo à Resolução CMN nº 4.444, de 2015, e suas alterações posteriores, ressalvados os valores mantidos em conta corrente, o dinheiro em caixa e os imóveis de uso próprio; e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IV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apenas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os seguintes tipos de operações: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microsseguros;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b)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seguros dos grupos Automóvel e Habitacional cujo período de vigência da apólice, certificado ou bilhete não seja superior a 1 (um) ano;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c)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seguros do grupo Patrimonial, com exceção dos ramos lucros cessantes, riscos de engenharia, riscos diversos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e  riscos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nomeados e operacionais, cujo período de vigência da apólice, certificado ou bilhete não seja superior a 1 (um) ano; ou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d) seguros de pessoas e planos de previdência no regime financeiro de repartição simples cujo período de vigência da apólice, certificado ou bilhete não seja superior a 1 (um) ano.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 S3 é composto pelas supervisionadas que atendam ao disposto nos incisos I e II do § 3º deste artigo, considerando o disposto no art. 3º, e que não estão enquadradas no segmento S4.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supervisionada responsável pela administração do Consórcio DPVAT não poderá ser enquadrada no segmento S4.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3802" w:rsidRPr="00F77AE4" w:rsidTr="000B3AEC">
        <w:trPr>
          <w:trHeight w:val="2098"/>
        </w:trPr>
        <w:tc>
          <w:tcPr>
            <w:tcW w:w="4112" w:type="dxa"/>
          </w:tcPr>
          <w:p w:rsidR="00543802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Os valores dos parâmetros de aferição definidos neste artigo deverão ser anuais, relativos à data-base de 31 dezembro do ano anterior ao da avaliação de enquadramento.</w:t>
            </w:r>
          </w:p>
        </w:tc>
        <w:tc>
          <w:tcPr>
            <w:tcW w:w="5528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43802" w:rsidRPr="00F77AE4" w:rsidRDefault="0054380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Nos casos em que o procedimento descrito no § 4º do art. 3º desta Resolução resulte no enquadramento de uma única supervisionada em dois ou mais segmentos distintos em função dos grupos prudenciais que compartilham seu controle, aplica-se à supervisionada o segmento de numeração sequencial mais baixa.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As supervisionadas enquadradas nos segmentos S3 ou S2 em função do disposto nos §§ 1º a 5º deste artigo e cujo grupo prudencial possua ressegurador local serão automaticamente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reenquadradas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para os segmentos S2 e S1, respectivamente.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Na apuração dos valores de prêmios e provisões técnicas de todo o mercado supervisionado, utilizados como referência para o enquadramento da supervisionada, não se aplicam os ajustes previstos no art. 3º desta Resolução.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531382" w:rsidP="0053138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  <w:r w:rsidRPr="005E19AE">
              <w:rPr>
                <w:rFonts w:ascii="Calibri" w:hAnsi="Calibri"/>
                <w:bCs/>
                <w:color w:val="000000"/>
                <w:sz w:val="22"/>
                <w:szCs w:val="22"/>
              </w:rPr>
              <w:t>º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Para as supervisionadas que iniciarem suas operações após a entrada em vigor desta Resolução, o enquadramento inicial deverá ser apurado considerando as informações constantes do plano de negócio submetido à Susep.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DB174C" w:rsidTr="000B3AEC">
        <w:trPr>
          <w:trHeight w:val="2098"/>
        </w:trPr>
        <w:tc>
          <w:tcPr>
            <w:tcW w:w="4112" w:type="dxa"/>
          </w:tcPr>
          <w:p w:rsidR="00531382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CAPÍTULO III</w:t>
            </w:r>
          </w:p>
          <w:p w:rsidR="00531382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DO ENQUADRAMENTO NO SEGMENTO S4</w:t>
            </w:r>
          </w:p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Art. 5º A supervisionada que opte por atender ao disposto nos incisos III e IV do § 3º do art. 4º desta Resolução, para fins de enquadramento no segmento S4, deverá: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formalizar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sua opção em reunião do Conselho de Administração, ou, caso este não exista, da Diretoria;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II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adotar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todas as medidas necessárias para a efetiva implementação e manutenção de sua opção, incluindo a adoção de controles internos específicos para esta finalidade; e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III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comunicar sua opção à Susep, na forma por ela determinada, somente após atendido o disposto nos incisos I e II deste artigo.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Art. 6º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Uma vez enquadrada no segmento S4, a supervisionada deverá comunicar imediatamente à Susep, na forma por ela determinada, a ocorrência das seguintes situações: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desistência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 opção mencionada no art. 5º, devendo tal decisão ser formalizada previamente em reunião do Conselho de Administração, ou, caso este não exista, da Diretoria; ou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constatação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não observância do disposto nos incisos III e IV do § 3º do art. 4º desta Resolução.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Art. 7º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supervisionada não poderá ser enquadrada no segmento S4 se: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grupo prudencial ao qual pertence possuir outras supervisionadas que não atendem ao disposto nos incisos III e IV do § 3º do art. 4º desta Resolução; ou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tiver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reenquadrada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 S4 para outro segmento com base no disposto no art. 9º, inciso II, alínea “a” desta Resolução, a menos que o referido reenquadramento tenha ocorrido há mais de 3 (três) anos.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DB174C" w:rsidTr="000B3AEC">
        <w:trPr>
          <w:trHeight w:val="2098"/>
        </w:trPr>
        <w:tc>
          <w:tcPr>
            <w:tcW w:w="4112" w:type="dxa"/>
          </w:tcPr>
          <w:p w:rsidR="00DB174C" w:rsidRDefault="00DB174C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CAPÍTULO IV</w:t>
            </w:r>
          </w:p>
          <w:p w:rsidR="00DB174C" w:rsidRDefault="00DB174C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DA ALTERAÇÃO DO ENQUADRAMENTO</w:t>
            </w:r>
          </w:p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Art. 8º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alteração do enquadramento da supervisionada entre os segmentos S1, S2, S3 e S4 deverá ocorrer: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para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 S1, quando a supervisionada atender ao disposto no § 1º do art. 4º por 2 (dois) anos consecutivos;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para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 S2, quando a supervisionada atender ao disposto no § 2º do art. 4º: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por 3 (três) anos consecutivos, se proveniente do S1; ou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b)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por 2 (dois) anos consecutivos, se proveniente do S3 ou do S4;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III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para o S3: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a)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quando a supervisionada atender ao disposto nos incisos I e II do § 3º do art. 4º por 3 (três) anos consecutivos, se proveniente do S1 ou do S2; ou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b)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no momento em que a Susep confirme o recebimento das comunicações previstas no art. 6º desta Resolução, se proveniente do S4; e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IV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para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 S4, no momento em que a Susep confirme o recebimento da comunicação de opção pelo S4 prevista no inciso III do art. 5º desta Resolução, desde que a supervisionada já esteja enquadrada no segmento S3.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Art. 9º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Susep poderá determinar a alteração do enquadramento da supervisionada entre os segmentos S1, S2, S3 e S4, mesmo antes de decorridos os prazos mencionados no art. 8º desta Resolução, nas seguintes hipóteses: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transferência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carteira, fusão, cisão, incorporação, alterações de controle, mudança significativa na condução dos negócios ou qualquer outra situação que indique ausência de perspectiva de retorno do atendimento aos requisitos para enquadramento no segmento de origem; ou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II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ações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supervisão evidenciem a melhor adequação entre a operação da supervisionada e a regulação prudencial do segmento de destino, incluindo, mas não se limitando a: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não observância do disposto nos incisos III e IV do § 3º do art. 4º desta Resolução por supervisionada enquadrada no segmento S4; ou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b)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existência de risco sistêmico, considerando características como nível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substituibilidade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interconectividade, operações no exterior, entre outras.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Art. 10</w:t>
            </w:r>
            <w:r w:rsidR="000B3AEC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alteração de enquadramento produzirá seus efeitos: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promovida nos termos do art. 8º desta Resolução, a partir do dia 1º de janeiro do ano seguinte ao da avaliação de enquadramento; ou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II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promovida nos termos do art. 9º desta Resolução, em data a ser fixada pela Susep considerando as particularidades de cada caso concreto e, se necessário, prazo de adequação para atendimento aos requisitos do segmento de destino.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Parágrafo único.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 disposto no inciso I do caput não se aplica aos casos previstos nos incisos III, alínea “b”, e IV do art. 8º, quando os efeitos são imediatos.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DB174C" w:rsidTr="000B3AEC">
        <w:trPr>
          <w:trHeight w:val="2098"/>
        </w:trPr>
        <w:tc>
          <w:tcPr>
            <w:tcW w:w="4112" w:type="dxa"/>
          </w:tcPr>
          <w:p w:rsidR="00DB174C" w:rsidRDefault="00DB174C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CAPÍTULO V</w:t>
            </w:r>
          </w:p>
          <w:p w:rsidR="00DB174C" w:rsidRDefault="00DB174C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DA TRANSPARÊNCIA</w:t>
            </w:r>
          </w:p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Art. 11</w:t>
            </w:r>
            <w:r w:rsidR="000B3AEC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Susep divulgará anualmente, até o dia 30 de abril, as informações relativas ao enquadramento preliminar das supervisionadas nos segmentos definidos nesta Resolução.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1º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As supervisionadas que discordarem do enquadramento preliminar divulgado poderão solicitar, até o dia 31 de maio, a revisão de seu enquadramento.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§ 2º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Após a análise das informações contidas no pedido da supervisionada, a Susep divulgará, até o dia 30 de junho, o enquadramento definitivo das supervisionadas nos segmentos definidos nesta Resolução, sendo vedada revisão posterior.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DB174C" w:rsidTr="000B3AEC">
        <w:trPr>
          <w:trHeight w:val="2098"/>
        </w:trPr>
        <w:tc>
          <w:tcPr>
            <w:tcW w:w="4112" w:type="dxa"/>
          </w:tcPr>
          <w:p w:rsidR="00DB174C" w:rsidRDefault="00DB174C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CAPÍTULO VI</w:t>
            </w:r>
          </w:p>
          <w:p w:rsidR="00DB174C" w:rsidRDefault="00DB174C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DA DISPOSIÇÕES TRANSITÓRIAS E FINAIS</w:t>
            </w:r>
          </w:p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531382" w:rsidRPr="00DB174C" w:rsidRDefault="00531382" w:rsidP="00DB174C">
            <w:pPr>
              <w:pStyle w:val="textocentralizadomaiusculasnegrito"/>
              <w:spacing w:before="120" w:beforeAutospacing="0" w:after="120" w:afterAutospacing="0"/>
              <w:ind w:left="119" w:right="119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Art. 12</w:t>
            </w:r>
            <w:r w:rsidR="000B3AEC"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 enquadramento inicial de cada supervisionada em funcionamento será definido considerando os valores dos parâmetros de aferição referentes à data-base de 31 de dezembro de 2019, aplicando-se as etapas e prazos estabelecidos no art. 11 desta Resolução.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1º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 enquadramento inicial produzirá seus efeitos a partir do dia 1º de julho de 2020.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§ 2º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As supervisionadas em operação, no início de vigência desta Resolução, serão enquadradas no segmento S1, até que o enquadramento inicial produza seus efeitos.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DB174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Art. 13.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Susep fica autorizada a expedir as normas complementares necessárias à implementação do disposto nesta Resolução.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1382" w:rsidRPr="00F77AE4" w:rsidTr="000B3AEC">
        <w:trPr>
          <w:trHeight w:val="2098"/>
        </w:trPr>
        <w:tc>
          <w:tcPr>
            <w:tcW w:w="4112" w:type="dxa"/>
          </w:tcPr>
          <w:p w:rsidR="00531382" w:rsidRPr="005E19AE" w:rsidRDefault="000B3AEC" w:rsidP="00543802">
            <w:pPr>
              <w:pStyle w:val="textojustificadorecuoprimeiralinha"/>
              <w:spacing w:before="120" w:beforeAutospacing="0" w:after="120" w:afterAutospacing="0"/>
              <w:ind w:left="120" w:right="12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Art. 14.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Esta Resolução entra em vigor na data de sua publicação.</w:t>
            </w:r>
          </w:p>
        </w:tc>
        <w:tc>
          <w:tcPr>
            <w:tcW w:w="5528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531382" w:rsidRPr="00F77AE4" w:rsidRDefault="00531382" w:rsidP="002730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7007A" w:rsidRPr="00304575" w:rsidRDefault="00A7007A" w:rsidP="00F77AE4">
      <w:pPr>
        <w:pStyle w:val="NormalWeb"/>
        <w:spacing w:before="0" w:beforeAutospacing="0" w:after="0" w:afterAutospacing="0"/>
        <w:jc w:val="both"/>
      </w:pPr>
    </w:p>
    <w:sectPr w:rsidR="00A7007A" w:rsidRPr="00304575" w:rsidSect="00760BE5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14E"/>
    <w:multiLevelType w:val="hybridMultilevel"/>
    <w:tmpl w:val="65365418"/>
    <w:lvl w:ilvl="0" w:tplc="505A0642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D086A9C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32245A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263254"/>
    <w:multiLevelType w:val="hybridMultilevel"/>
    <w:tmpl w:val="E93C3332"/>
    <w:lvl w:ilvl="0" w:tplc="1E283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D73CF2"/>
    <w:multiLevelType w:val="hybridMultilevel"/>
    <w:tmpl w:val="8D58E50C"/>
    <w:lvl w:ilvl="0" w:tplc="C9846C7E">
      <w:start w:val="1"/>
      <w:numFmt w:val="lowerLetter"/>
      <w:lvlText w:val="%1)"/>
      <w:lvlJc w:val="left"/>
      <w:pPr>
        <w:ind w:left="2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2" w:hanging="360"/>
      </w:pPr>
    </w:lvl>
    <w:lvl w:ilvl="2" w:tplc="0416001B" w:tentative="1">
      <w:start w:val="1"/>
      <w:numFmt w:val="lowerRoman"/>
      <w:lvlText w:val="%3."/>
      <w:lvlJc w:val="right"/>
      <w:pPr>
        <w:ind w:left="3932" w:hanging="180"/>
      </w:pPr>
    </w:lvl>
    <w:lvl w:ilvl="3" w:tplc="0416000F" w:tentative="1">
      <w:start w:val="1"/>
      <w:numFmt w:val="decimal"/>
      <w:lvlText w:val="%4."/>
      <w:lvlJc w:val="left"/>
      <w:pPr>
        <w:ind w:left="4652" w:hanging="360"/>
      </w:pPr>
    </w:lvl>
    <w:lvl w:ilvl="4" w:tplc="04160019" w:tentative="1">
      <w:start w:val="1"/>
      <w:numFmt w:val="lowerLetter"/>
      <w:lvlText w:val="%5."/>
      <w:lvlJc w:val="left"/>
      <w:pPr>
        <w:ind w:left="5372" w:hanging="360"/>
      </w:pPr>
    </w:lvl>
    <w:lvl w:ilvl="5" w:tplc="0416001B" w:tentative="1">
      <w:start w:val="1"/>
      <w:numFmt w:val="lowerRoman"/>
      <w:lvlText w:val="%6."/>
      <w:lvlJc w:val="right"/>
      <w:pPr>
        <w:ind w:left="6092" w:hanging="180"/>
      </w:pPr>
    </w:lvl>
    <w:lvl w:ilvl="6" w:tplc="0416000F" w:tentative="1">
      <w:start w:val="1"/>
      <w:numFmt w:val="decimal"/>
      <w:lvlText w:val="%7."/>
      <w:lvlJc w:val="left"/>
      <w:pPr>
        <w:ind w:left="6812" w:hanging="360"/>
      </w:pPr>
    </w:lvl>
    <w:lvl w:ilvl="7" w:tplc="04160019" w:tentative="1">
      <w:start w:val="1"/>
      <w:numFmt w:val="lowerLetter"/>
      <w:lvlText w:val="%8."/>
      <w:lvlJc w:val="left"/>
      <w:pPr>
        <w:ind w:left="7532" w:hanging="360"/>
      </w:pPr>
    </w:lvl>
    <w:lvl w:ilvl="8" w:tplc="0416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5" w15:restartNumberingAfterBreak="0">
    <w:nsid w:val="41AE6FFF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7B57EE"/>
    <w:multiLevelType w:val="hybridMultilevel"/>
    <w:tmpl w:val="DE284A28"/>
    <w:lvl w:ilvl="0" w:tplc="C0A055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B913B2E"/>
    <w:multiLevelType w:val="hybridMultilevel"/>
    <w:tmpl w:val="D0F6FE8C"/>
    <w:lvl w:ilvl="0" w:tplc="EB84AF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0315F7F"/>
    <w:multiLevelType w:val="hybridMultilevel"/>
    <w:tmpl w:val="9D00A490"/>
    <w:lvl w:ilvl="0" w:tplc="EE70D9D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78F5270F"/>
    <w:multiLevelType w:val="hybridMultilevel"/>
    <w:tmpl w:val="61149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6"/>
    <w:rsid w:val="000300CD"/>
    <w:rsid w:val="00031069"/>
    <w:rsid w:val="00031583"/>
    <w:rsid w:val="00033B9C"/>
    <w:rsid w:val="00036976"/>
    <w:rsid w:val="0004026B"/>
    <w:rsid w:val="000464CA"/>
    <w:rsid w:val="0005290B"/>
    <w:rsid w:val="00060500"/>
    <w:rsid w:val="00061B7B"/>
    <w:rsid w:val="00071376"/>
    <w:rsid w:val="000732E7"/>
    <w:rsid w:val="00074888"/>
    <w:rsid w:val="00081963"/>
    <w:rsid w:val="00090964"/>
    <w:rsid w:val="00096F16"/>
    <w:rsid w:val="000A5509"/>
    <w:rsid w:val="000B0D9E"/>
    <w:rsid w:val="000B3AEC"/>
    <w:rsid w:val="000C268E"/>
    <w:rsid w:val="000F2804"/>
    <w:rsid w:val="000F2A10"/>
    <w:rsid w:val="00130340"/>
    <w:rsid w:val="00155A64"/>
    <w:rsid w:val="001735BA"/>
    <w:rsid w:val="00176C0C"/>
    <w:rsid w:val="00176EF2"/>
    <w:rsid w:val="001958BB"/>
    <w:rsid w:val="001A359B"/>
    <w:rsid w:val="001A4D3D"/>
    <w:rsid w:val="001B2C9A"/>
    <w:rsid w:val="001C0325"/>
    <w:rsid w:val="001C1436"/>
    <w:rsid w:val="001C2185"/>
    <w:rsid w:val="001D59F8"/>
    <w:rsid w:val="001E52F8"/>
    <w:rsid w:val="001F3F27"/>
    <w:rsid w:val="001F462B"/>
    <w:rsid w:val="002033BB"/>
    <w:rsid w:val="0020511C"/>
    <w:rsid w:val="002151A8"/>
    <w:rsid w:val="0021630C"/>
    <w:rsid w:val="00221465"/>
    <w:rsid w:val="00221EBA"/>
    <w:rsid w:val="0023458C"/>
    <w:rsid w:val="00234C03"/>
    <w:rsid w:val="00237EF0"/>
    <w:rsid w:val="00241E80"/>
    <w:rsid w:val="0025607C"/>
    <w:rsid w:val="00257EB8"/>
    <w:rsid w:val="00264BBB"/>
    <w:rsid w:val="00270E63"/>
    <w:rsid w:val="0028103A"/>
    <w:rsid w:val="0029011E"/>
    <w:rsid w:val="00295C8F"/>
    <w:rsid w:val="002A1A83"/>
    <w:rsid w:val="002A1D3B"/>
    <w:rsid w:val="002A23FE"/>
    <w:rsid w:val="002C7E4B"/>
    <w:rsid w:val="002D36DD"/>
    <w:rsid w:val="002D48E0"/>
    <w:rsid w:val="002D78FE"/>
    <w:rsid w:val="002E2904"/>
    <w:rsid w:val="002F0296"/>
    <w:rsid w:val="002F0A0F"/>
    <w:rsid w:val="002F574A"/>
    <w:rsid w:val="002F5974"/>
    <w:rsid w:val="00304575"/>
    <w:rsid w:val="003060BF"/>
    <w:rsid w:val="003678A7"/>
    <w:rsid w:val="00372E83"/>
    <w:rsid w:val="00377F9A"/>
    <w:rsid w:val="003A19DD"/>
    <w:rsid w:val="003B5988"/>
    <w:rsid w:val="003C3930"/>
    <w:rsid w:val="003C411A"/>
    <w:rsid w:val="003C5860"/>
    <w:rsid w:val="003C6FA8"/>
    <w:rsid w:val="003F0C6B"/>
    <w:rsid w:val="003F3552"/>
    <w:rsid w:val="003F7641"/>
    <w:rsid w:val="00421ED8"/>
    <w:rsid w:val="004343BF"/>
    <w:rsid w:val="0045653D"/>
    <w:rsid w:val="00457DCA"/>
    <w:rsid w:val="0048652D"/>
    <w:rsid w:val="004964D8"/>
    <w:rsid w:val="004A083C"/>
    <w:rsid w:val="004B192E"/>
    <w:rsid w:val="004B421D"/>
    <w:rsid w:val="00523C99"/>
    <w:rsid w:val="005312EF"/>
    <w:rsid w:val="00531382"/>
    <w:rsid w:val="005426C5"/>
    <w:rsid w:val="00543802"/>
    <w:rsid w:val="00544071"/>
    <w:rsid w:val="00552A76"/>
    <w:rsid w:val="0055494E"/>
    <w:rsid w:val="00567D75"/>
    <w:rsid w:val="00570C75"/>
    <w:rsid w:val="00573B11"/>
    <w:rsid w:val="0058643D"/>
    <w:rsid w:val="00592D46"/>
    <w:rsid w:val="005968AD"/>
    <w:rsid w:val="005A1F0F"/>
    <w:rsid w:val="005A25E2"/>
    <w:rsid w:val="005A2D0B"/>
    <w:rsid w:val="005B127F"/>
    <w:rsid w:val="005B1938"/>
    <w:rsid w:val="005B1FC9"/>
    <w:rsid w:val="005C64A8"/>
    <w:rsid w:val="005D2D98"/>
    <w:rsid w:val="005E19AE"/>
    <w:rsid w:val="005E5CDA"/>
    <w:rsid w:val="005F1C4D"/>
    <w:rsid w:val="005F515A"/>
    <w:rsid w:val="00610D85"/>
    <w:rsid w:val="006114A5"/>
    <w:rsid w:val="006269F0"/>
    <w:rsid w:val="00627BDD"/>
    <w:rsid w:val="006454B6"/>
    <w:rsid w:val="00647AB0"/>
    <w:rsid w:val="00657A7B"/>
    <w:rsid w:val="006656F5"/>
    <w:rsid w:val="0066637A"/>
    <w:rsid w:val="006B0B15"/>
    <w:rsid w:val="006B0E42"/>
    <w:rsid w:val="006B4E52"/>
    <w:rsid w:val="006C5D2D"/>
    <w:rsid w:val="006C6C0F"/>
    <w:rsid w:val="006D4C16"/>
    <w:rsid w:val="006E2FE8"/>
    <w:rsid w:val="00702AD7"/>
    <w:rsid w:val="00705B45"/>
    <w:rsid w:val="00711066"/>
    <w:rsid w:val="00733242"/>
    <w:rsid w:val="0074419E"/>
    <w:rsid w:val="00746345"/>
    <w:rsid w:val="00751A59"/>
    <w:rsid w:val="00760AD1"/>
    <w:rsid w:val="00760BE5"/>
    <w:rsid w:val="00767B97"/>
    <w:rsid w:val="00793F1E"/>
    <w:rsid w:val="007A122B"/>
    <w:rsid w:val="007A450E"/>
    <w:rsid w:val="007B21AA"/>
    <w:rsid w:val="007B7AD4"/>
    <w:rsid w:val="007D43DD"/>
    <w:rsid w:val="007F18CE"/>
    <w:rsid w:val="007F7DDA"/>
    <w:rsid w:val="00820FED"/>
    <w:rsid w:val="0083587F"/>
    <w:rsid w:val="00850415"/>
    <w:rsid w:val="0085209E"/>
    <w:rsid w:val="00861931"/>
    <w:rsid w:val="00872A16"/>
    <w:rsid w:val="0087552D"/>
    <w:rsid w:val="00887B6B"/>
    <w:rsid w:val="00890C4A"/>
    <w:rsid w:val="008A40C6"/>
    <w:rsid w:val="008A4D30"/>
    <w:rsid w:val="008B6E30"/>
    <w:rsid w:val="008D0933"/>
    <w:rsid w:val="008D23A4"/>
    <w:rsid w:val="008E01B8"/>
    <w:rsid w:val="0093632E"/>
    <w:rsid w:val="00942665"/>
    <w:rsid w:val="00944FA8"/>
    <w:rsid w:val="00944FB5"/>
    <w:rsid w:val="00946132"/>
    <w:rsid w:val="00983740"/>
    <w:rsid w:val="00994555"/>
    <w:rsid w:val="00996997"/>
    <w:rsid w:val="009A2D25"/>
    <w:rsid w:val="009A5EE7"/>
    <w:rsid w:val="009B3204"/>
    <w:rsid w:val="009B7FB6"/>
    <w:rsid w:val="009C10AF"/>
    <w:rsid w:val="009D4451"/>
    <w:rsid w:val="009E3F57"/>
    <w:rsid w:val="009E617C"/>
    <w:rsid w:val="00A318CF"/>
    <w:rsid w:val="00A372CC"/>
    <w:rsid w:val="00A47AC2"/>
    <w:rsid w:val="00A7007A"/>
    <w:rsid w:val="00A72C6F"/>
    <w:rsid w:val="00A72FEF"/>
    <w:rsid w:val="00A74299"/>
    <w:rsid w:val="00A75039"/>
    <w:rsid w:val="00A92232"/>
    <w:rsid w:val="00A9379E"/>
    <w:rsid w:val="00AD279E"/>
    <w:rsid w:val="00AD4D16"/>
    <w:rsid w:val="00B039ED"/>
    <w:rsid w:val="00B045B4"/>
    <w:rsid w:val="00B06171"/>
    <w:rsid w:val="00B165C8"/>
    <w:rsid w:val="00B32006"/>
    <w:rsid w:val="00B4188E"/>
    <w:rsid w:val="00B61B66"/>
    <w:rsid w:val="00B65686"/>
    <w:rsid w:val="00B96BDE"/>
    <w:rsid w:val="00BB10F7"/>
    <w:rsid w:val="00BB15DB"/>
    <w:rsid w:val="00BB4B28"/>
    <w:rsid w:val="00BC71AF"/>
    <w:rsid w:val="00BD468E"/>
    <w:rsid w:val="00BD7D32"/>
    <w:rsid w:val="00BE392B"/>
    <w:rsid w:val="00BE3D11"/>
    <w:rsid w:val="00BE78B6"/>
    <w:rsid w:val="00BF64A4"/>
    <w:rsid w:val="00C00721"/>
    <w:rsid w:val="00C03395"/>
    <w:rsid w:val="00C03BF8"/>
    <w:rsid w:val="00C11B4F"/>
    <w:rsid w:val="00C223BA"/>
    <w:rsid w:val="00C4773A"/>
    <w:rsid w:val="00C633C6"/>
    <w:rsid w:val="00C72866"/>
    <w:rsid w:val="00C84C99"/>
    <w:rsid w:val="00C90384"/>
    <w:rsid w:val="00CA4BB7"/>
    <w:rsid w:val="00CB746E"/>
    <w:rsid w:val="00CD6D92"/>
    <w:rsid w:val="00CE46BD"/>
    <w:rsid w:val="00CE613B"/>
    <w:rsid w:val="00CF2F80"/>
    <w:rsid w:val="00CF5911"/>
    <w:rsid w:val="00D0590B"/>
    <w:rsid w:val="00D127A7"/>
    <w:rsid w:val="00D163C8"/>
    <w:rsid w:val="00D25D1F"/>
    <w:rsid w:val="00D34117"/>
    <w:rsid w:val="00D56ED5"/>
    <w:rsid w:val="00D572F3"/>
    <w:rsid w:val="00D57C38"/>
    <w:rsid w:val="00D6588E"/>
    <w:rsid w:val="00D712E6"/>
    <w:rsid w:val="00D743A2"/>
    <w:rsid w:val="00D8678C"/>
    <w:rsid w:val="00D9152B"/>
    <w:rsid w:val="00D96093"/>
    <w:rsid w:val="00DA47BA"/>
    <w:rsid w:val="00DB174C"/>
    <w:rsid w:val="00DB242F"/>
    <w:rsid w:val="00DD09F8"/>
    <w:rsid w:val="00DD72B5"/>
    <w:rsid w:val="00DD74F7"/>
    <w:rsid w:val="00E324A1"/>
    <w:rsid w:val="00E33914"/>
    <w:rsid w:val="00E554A5"/>
    <w:rsid w:val="00E5726C"/>
    <w:rsid w:val="00E83D62"/>
    <w:rsid w:val="00E87FC9"/>
    <w:rsid w:val="00EA7A41"/>
    <w:rsid w:val="00EB685D"/>
    <w:rsid w:val="00EC0A5D"/>
    <w:rsid w:val="00ED3294"/>
    <w:rsid w:val="00ED553A"/>
    <w:rsid w:val="00ED75A3"/>
    <w:rsid w:val="00EE1F92"/>
    <w:rsid w:val="00EF2214"/>
    <w:rsid w:val="00EF7C16"/>
    <w:rsid w:val="00F00213"/>
    <w:rsid w:val="00F00C2C"/>
    <w:rsid w:val="00F022E6"/>
    <w:rsid w:val="00F07548"/>
    <w:rsid w:val="00F107D9"/>
    <w:rsid w:val="00F16A2F"/>
    <w:rsid w:val="00F227C2"/>
    <w:rsid w:val="00F2284F"/>
    <w:rsid w:val="00F3297C"/>
    <w:rsid w:val="00F40786"/>
    <w:rsid w:val="00F41EB6"/>
    <w:rsid w:val="00F77AE4"/>
    <w:rsid w:val="00F97A00"/>
    <w:rsid w:val="00FA06E1"/>
    <w:rsid w:val="00FA3439"/>
    <w:rsid w:val="00FB32B3"/>
    <w:rsid w:val="00FD3F9D"/>
    <w:rsid w:val="00FE0B9F"/>
    <w:rsid w:val="00FE4AA5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39FA5-79EE-4521-9E83-C0E7701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872A16"/>
    <w:pPr>
      <w:ind w:left="1800"/>
      <w:jc w:val="both"/>
    </w:pPr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2A16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872A16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872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72A1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72A16"/>
    <w:rPr>
      <w:color w:val="0000FF"/>
      <w:u w:val="single"/>
    </w:rPr>
  </w:style>
  <w:style w:type="paragraph" w:customStyle="1" w:styleId="western">
    <w:name w:val="western"/>
    <w:basedOn w:val="Normal"/>
    <w:rsid w:val="006C6C0F"/>
    <w:pPr>
      <w:spacing w:before="100" w:beforeAutospacing="1" w:after="119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61B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B7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21E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2A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A1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D712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712E6"/>
    <w:rPr>
      <w:rFonts w:ascii="Calibri" w:hAnsi="Calibri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074888"/>
    <w:rPr>
      <w:rFonts w:eastAsiaTheme="minorHAns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rsid w:val="0007488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2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F7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rtigo1ate9">
    <w:name w:val="artigo_1_ate_9º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8">
    <w:name w:val="tabela_texto_8"/>
    <w:basedOn w:val="Normal"/>
    <w:rsid w:val="00A9379E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257E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57EB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E19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19A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19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1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19A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centralizadomaiusculasnegrito">
    <w:name w:val="texto_centralizado_maiusculas_negrito"/>
    <w:basedOn w:val="Normal"/>
    <w:rsid w:val="00543802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rsid w:val="00C728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FA27-ADB7-406E-955D-24E0E1F6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2161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SUSEP</Company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robertoss</dc:creator>
  <cp:lastModifiedBy>Leonardo da Cruz Nassif</cp:lastModifiedBy>
  <cp:revision>2</cp:revision>
  <cp:lastPrinted>2016-05-19T13:03:00Z</cp:lastPrinted>
  <dcterms:created xsi:type="dcterms:W3CDTF">2019-12-06T20:10:00Z</dcterms:created>
  <dcterms:modified xsi:type="dcterms:W3CDTF">2019-12-06T20:10:00Z</dcterms:modified>
</cp:coreProperties>
</file>