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5" w:rsidRPr="003A3E2C" w:rsidRDefault="00760BE5" w:rsidP="00760BE5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3A3E2C">
        <w:rPr>
          <w:rFonts w:asciiTheme="minorHAnsi" w:hAnsiTheme="minorHAnsi"/>
          <w:b/>
          <w:bCs/>
          <w:sz w:val="24"/>
          <w:szCs w:val="24"/>
        </w:rPr>
        <w:t>QUADRO DE SUGESTÕES</w:t>
      </w:r>
    </w:p>
    <w:p w:rsidR="00760BE5" w:rsidRPr="003A3E2C" w:rsidRDefault="00760BE5" w:rsidP="00760BE5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elacomgrade"/>
        <w:tblW w:w="15735" w:type="dxa"/>
        <w:tblInd w:w="-998" w:type="dxa"/>
        <w:tblLook w:val="04A0" w:firstRow="1" w:lastRow="0" w:firstColumn="1" w:lastColumn="0" w:noHBand="0" w:noVBand="1"/>
      </w:tblPr>
      <w:tblGrid>
        <w:gridCol w:w="4112"/>
        <w:gridCol w:w="5528"/>
        <w:gridCol w:w="6095"/>
      </w:tblGrid>
      <w:tr w:rsidR="00760BE5" w:rsidRPr="003A3E2C" w:rsidTr="002E4545">
        <w:trPr>
          <w:trHeight w:hRule="exact" w:val="340"/>
        </w:trPr>
        <w:tc>
          <w:tcPr>
            <w:tcW w:w="15735" w:type="dxa"/>
            <w:gridSpan w:val="3"/>
          </w:tcPr>
          <w:p w:rsidR="00760BE5" w:rsidRPr="003A3E2C" w:rsidRDefault="00760BE5" w:rsidP="002E4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-Bold"/>
                <w:b/>
                <w:bCs/>
                <w:sz w:val="24"/>
                <w:szCs w:val="24"/>
                <w:lang w:eastAsia="en-US"/>
              </w:rPr>
            </w:pPr>
            <w:r w:rsidRPr="003A3E2C">
              <w:rPr>
                <w:rFonts w:asciiTheme="minorHAnsi" w:eastAsiaTheme="minorHAnsi" w:hAnsiTheme="minorHAnsi" w:cs="Times-Bold"/>
                <w:b/>
                <w:bCs/>
                <w:sz w:val="24"/>
                <w:szCs w:val="24"/>
                <w:lang w:eastAsia="en-US"/>
              </w:rPr>
              <w:t>QUADRO PADRONIZADO PARA APRESENTAÇÃO DE SUGESTÕES E COMENTÁRIOS</w:t>
            </w:r>
          </w:p>
          <w:p w:rsidR="00760BE5" w:rsidRPr="003A3E2C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60BE5" w:rsidRPr="003A3E2C" w:rsidTr="002E4545">
        <w:trPr>
          <w:trHeight w:hRule="exact" w:val="567"/>
        </w:trPr>
        <w:tc>
          <w:tcPr>
            <w:tcW w:w="15735" w:type="dxa"/>
            <w:gridSpan w:val="3"/>
            <w:vAlign w:val="center"/>
          </w:tcPr>
          <w:p w:rsidR="00760BE5" w:rsidRPr="003A3E2C" w:rsidRDefault="00760BE5" w:rsidP="002E454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</w:pPr>
            <w:r w:rsidRPr="003A3E2C"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Remetente:</w:t>
            </w:r>
          </w:p>
          <w:p w:rsidR="00760BE5" w:rsidRPr="003A3E2C" w:rsidRDefault="00760BE5" w:rsidP="002E454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3E2C"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Signatário:</w:t>
            </w:r>
          </w:p>
        </w:tc>
      </w:tr>
      <w:tr w:rsidR="00760BE5" w:rsidRPr="003A3E2C" w:rsidTr="002E4545">
        <w:trPr>
          <w:trHeight w:hRule="exact" w:val="284"/>
        </w:trPr>
        <w:tc>
          <w:tcPr>
            <w:tcW w:w="4112" w:type="dxa"/>
          </w:tcPr>
          <w:p w:rsidR="00760BE5" w:rsidRPr="003A3E2C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528" w:type="dxa"/>
          </w:tcPr>
          <w:p w:rsidR="00760BE5" w:rsidRPr="003A3E2C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6095" w:type="dxa"/>
          </w:tcPr>
          <w:p w:rsidR="00760BE5" w:rsidRPr="003A3E2C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A9379E" w:rsidRPr="003A3E2C" w:rsidTr="00A9379E">
        <w:trPr>
          <w:trHeight w:val="862"/>
        </w:trPr>
        <w:tc>
          <w:tcPr>
            <w:tcW w:w="4112" w:type="dxa"/>
          </w:tcPr>
          <w:p w:rsidR="00A9379E" w:rsidRPr="003A3E2C" w:rsidRDefault="005E19AE" w:rsidP="00760BE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RESOLUÇÃO</w:t>
            </w:r>
            <w:r w:rsidR="00A9379E"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CNSP</w:t>
            </w:r>
            <w:r w:rsidR="00A9379E"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N.º</w:t>
            </w:r>
            <w:r w:rsidR="00760BE5"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___, </w:t>
            </w:r>
            <w:r w:rsidR="00A9379E"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="00760BE5"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____</w:t>
            </w:r>
            <w:r w:rsidR="00A9379E" w:rsidRPr="003A3E2C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9379E" w:rsidRPr="003A3E2C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3A3E2C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3A3E2C" w:rsidTr="000B3AEC">
        <w:trPr>
          <w:trHeight w:val="2098"/>
        </w:trPr>
        <w:tc>
          <w:tcPr>
            <w:tcW w:w="4112" w:type="dxa"/>
          </w:tcPr>
          <w:p w:rsidR="005E19AE" w:rsidRPr="003A3E2C" w:rsidRDefault="002E4646" w:rsidP="005E19AE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A3E2C">
              <w:rPr>
                <w:rFonts w:asciiTheme="minorHAnsi" w:hAnsiTheme="minorHAnsi"/>
                <w:bCs/>
                <w:color w:val="000000"/>
              </w:rPr>
              <w:t>Dispõe sobre o registro das operações de seguros, de previdência complementar aberta, capitalização e resseguros.</w:t>
            </w:r>
          </w:p>
        </w:tc>
        <w:tc>
          <w:tcPr>
            <w:tcW w:w="5528" w:type="dxa"/>
          </w:tcPr>
          <w:p w:rsidR="00257EB8" w:rsidRPr="003A3E2C" w:rsidRDefault="00257EB8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3A3E2C" w:rsidRDefault="00257EB8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3A3E2C" w:rsidTr="000B3AEC">
        <w:trPr>
          <w:trHeight w:val="2098"/>
        </w:trPr>
        <w:tc>
          <w:tcPr>
            <w:tcW w:w="4112" w:type="dxa"/>
          </w:tcPr>
          <w:p w:rsidR="00257EB8" w:rsidRPr="003A3E2C" w:rsidRDefault="002E4646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A SUPERINTENDÊNCIA DE SEGUROS PRIVADOS – SUSEP</w:t>
            </w:r>
            <w:r w:rsidRPr="003A3E2C">
              <w:rPr>
                <w:rFonts w:asciiTheme="minorHAnsi" w:hAnsiTheme="minorHAnsi"/>
                <w:color w:val="000000"/>
              </w:rPr>
              <w:t>, no uso da atribuição que lhe confere o art. 34, inciso XI, do Decreto n.º 60.459, de 13 de março de 1967, torna público que 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CONSELHO NACIONAL DE SEGUROS PRIVADOS – CNSP</w:t>
            </w:r>
            <w:r w:rsidRPr="003A3E2C">
              <w:rPr>
                <w:rFonts w:asciiTheme="minorHAnsi" w:hAnsiTheme="minorHAnsi"/>
                <w:color w:val="000000"/>
              </w:rPr>
              <w:t>, em sessão ordinária realizada em __ de _______ de 2019, na forma do que estabelece o inciso II do art. 32, do Decreto-lei n.º 73, de 21 de novembro de 1966, nos arts. 73 e 74 da Lei Complementar nº 109, de 29 de maio de 2001, no §1º do art. 3º do Decreto-lei nº 261, de 28 de fevereiro de 1967 e no art. 2º da Lei Complementar nº 126, de 15 de janeiro de 2007, e considerando o que consta do Processo CNSP Nº __/____, na origem, e do Processo Susep nº 15414.604927/2016-02,</w:t>
            </w:r>
          </w:p>
        </w:tc>
        <w:tc>
          <w:tcPr>
            <w:tcW w:w="5528" w:type="dxa"/>
          </w:tcPr>
          <w:p w:rsidR="00257EB8" w:rsidRPr="003A3E2C" w:rsidRDefault="00257EB8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3A3E2C" w:rsidRDefault="00257EB8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3A3E2C" w:rsidTr="000B3AEC">
        <w:trPr>
          <w:trHeight w:val="2098"/>
        </w:trPr>
        <w:tc>
          <w:tcPr>
            <w:tcW w:w="4112" w:type="dxa"/>
          </w:tcPr>
          <w:p w:rsidR="00543802" w:rsidRPr="003A3E2C" w:rsidRDefault="00D34117" w:rsidP="00543802">
            <w:pPr>
              <w:pStyle w:val="textojustificadorecuoprimeiralinha"/>
              <w:spacing w:before="120" w:beforeAutospacing="0" w:after="120" w:afterAutospacing="0"/>
              <w:ind w:left="119" w:right="119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3A3E2C">
              <w:rPr>
                <w:rFonts w:asciiTheme="minorHAnsi" w:hAnsiTheme="minorHAnsi"/>
                <w:b/>
                <w:bCs/>
                <w:color w:val="000000"/>
              </w:rPr>
              <w:lastRenderedPageBreak/>
              <w:t>RESOLVE</w:t>
            </w:r>
            <w:r w:rsidR="00257EB8" w:rsidRPr="003A3E2C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  <w:tc>
          <w:tcPr>
            <w:tcW w:w="5528" w:type="dxa"/>
          </w:tcPr>
          <w:p w:rsidR="00257EB8" w:rsidRPr="003A3E2C" w:rsidRDefault="00257EB8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3A3E2C" w:rsidRDefault="00257EB8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543802" w:rsidRPr="003A3E2C" w:rsidRDefault="002E4646" w:rsidP="00543802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aps/>
                <w:color w:val="000000"/>
              </w:rPr>
            </w:pPr>
            <w:r w:rsidRPr="003A3E2C">
              <w:rPr>
                <w:rFonts w:asciiTheme="minorHAnsi" w:hAnsiTheme="minorHAnsi"/>
                <w:b/>
                <w:bCs/>
                <w:color w:val="000000"/>
              </w:rPr>
              <w:t>Capítulo I</w:t>
            </w:r>
          </w:p>
          <w:p w:rsidR="00543802" w:rsidRPr="003A3E2C" w:rsidRDefault="002E4646" w:rsidP="006C777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aps/>
                <w:color w:val="000000"/>
              </w:rPr>
            </w:pPr>
            <w:r w:rsidRPr="003A3E2C">
              <w:rPr>
                <w:rFonts w:asciiTheme="minorHAnsi" w:hAnsiTheme="minorHAnsi"/>
                <w:b/>
                <w:bCs/>
                <w:color w:val="000000"/>
              </w:rPr>
              <w:t xml:space="preserve">Do </w:t>
            </w:r>
            <w:r w:rsidR="006C777C" w:rsidRPr="003A3E2C">
              <w:rPr>
                <w:rFonts w:asciiTheme="minorHAnsi" w:hAnsiTheme="minorHAnsi"/>
                <w:b/>
                <w:bCs/>
                <w:color w:val="000000"/>
              </w:rPr>
              <w:t>e</w:t>
            </w:r>
            <w:r w:rsidRPr="003A3E2C">
              <w:rPr>
                <w:rFonts w:asciiTheme="minorHAnsi" w:hAnsiTheme="minorHAnsi"/>
                <w:b/>
                <w:bCs/>
                <w:color w:val="000000"/>
              </w:rPr>
              <w:t>scopo</w:t>
            </w: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9379E" w:rsidRPr="003A3E2C" w:rsidTr="002E4646">
        <w:trPr>
          <w:trHeight w:val="1296"/>
        </w:trPr>
        <w:tc>
          <w:tcPr>
            <w:tcW w:w="4112" w:type="dxa"/>
          </w:tcPr>
          <w:p w:rsidR="002E4646" w:rsidRPr="003A3E2C" w:rsidRDefault="002E4646" w:rsidP="002E4646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Art. 1º  Esta Resolução dispõe sobre o registro das operações de seguros, previdência complementar aberta, capitalização e resseguros.</w:t>
            </w:r>
          </w:p>
          <w:p w:rsidR="005E19AE" w:rsidRPr="003A3E2C" w:rsidRDefault="005E19A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A9379E" w:rsidRPr="003A3E2C" w:rsidRDefault="00A9379E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3A3E2C" w:rsidRDefault="00A9379E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9379E" w:rsidRPr="003A3E2C" w:rsidTr="000B3AEC">
        <w:trPr>
          <w:trHeight w:val="2098"/>
        </w:trPr>
        <w:tc>
          <w:tcPr>
            <w:tcW w:w="4112" w:type="dxa"/>
          </w:tcPr>
          <w:p w:rsidR="002E4646" w:rsidRPr="003A3E2C" w:rsidRDefault="002E4646" w:rsidP="002E4646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Art. 2º  Para os fins do disposto nesta Resolução, consideram-se:</w:t>
            </w:r>
          </w:p>
          <w:p w:rsidR="00A9379E" w:rsidRPr="003A3E2C" w:rsidRDefault="00A9379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A9379E" w:rsidRPr="003A3E2C" w:rsidRDefault="00A9379E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6095" w:type="dxa"/>
          </w:tcPr>
          <w:p w:rsidR="00A9379E" w:rsidRPr="003A3E2C" w:rsidRDefault="00A9379E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5E19AE" w:rsidRPr="003A3E2C" w:rsidTr="000B3AEC">
        <w:trPr>
          <w:trHeight w:val="2098"/>
        </w:trPr>
        <w:tc>
          <w:tcPr>
            <w:tcW w:w="4112" w:type="dxa"/>
          </w:tcPr>
          <w:p w:rsidR="002E4646" w:rsidRPr="003A3E2C" w:rsidRDefault="002E4646" w:rsidP="002E4646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 - supervisionadas: as sociedades seguradoras, as entidades abertas de previdência complementar, as sociedades de capitalização e os resseguradores locais; e</w:t>
            </w:r>
          </w:p>
          <w:p w:rsidR="005E19AE" w:rsidRPr="003A3E2C" w:rsidRDefault="005E19A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E19AE" w:rsidRPr="003A3E2C" w:rsidRDefault="005E19AE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E19AE" w:rsidRPr="003A3E2C" w:rsidRDefault="005E19AE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2E4646" w:rsidRPr="003A3E2C" w:rsidRDefault="002E4646" w:rsidP="002E4646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lastRenderedPageBreak/>
              <w:t>II - operações de seguro, de previdência complementar aberta, de capitalização e de resseguro: o conjunto de eventos e transações referentes a uma mesma apólice, bilhete, contrato, certificado, título ou série de uma mesma supervisionada.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3A3E2C">
              <w:rPr>
                <w:rFonts w:asciiTheme="minorHAnsi" w:hAnsiTheme="minorHAnsi"/>
              </w:rPr>
              <w:t>Capítulo II</w:t>
            </w:r>
          </w:p>
          <w:p w:rsidR="006C777C" w:rsidRPr="003A3E2C" w:rsidRDefault="006C777C" w:rsidP="006C777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3A3E2C">
              <w:rPr>
                <w:rFonts w:asciiTheme="minorHAnsi" w:hAnsiTheme="minorHAnsi"/>
              </w:rPr>
              <w:t>Do registro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6C777C">
        <w:trPr>
          <w:trHeight w:val="1991"/>
        </w:trPr>
        <w:tc>
          <w:tcPr>
            <w:tcW w:w="4112" w:type="dxa"/>
          </w:tcPr>
          <w:p w:rsidR="006C777C" w:rsidRPr="003A3E2C" w:rsidRDefault="006C777C" w:rsidP="006C777C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Art. 3º  As supervisionadas deverão efetuar, em sistemas de registro previamente homologados pela Superintendência de Seguros Privados (Susep), o registro de suas operações de seguro, de previdência complementar aberta, de capitalização e de resseguro.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A3E2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Art. 4º  O registro de que trata o art. 3º deve permitir, ao menos: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C777C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I - a apuração dos riscos subjacentes à operação, segmentados de acordo com principais características dos objetos segurados e das coberturas contratadas;</w:t>
            </w:r>
          </w:p>
          <w:p w:rsidR="006C777C" w:rsidRPr="003A3E2C" w:rsidRDefault="006C777C" w:rsidP="006C777C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C777C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 - a apuração dos fluxos financeiros da operação;</w:t>
            </w:r>
          </w:p>
          <w:p w:rsidR="006C777C" w:rsidRPr="003A3E2C" w:rsidRDefault="006C777C" w:rsidP="006C777C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C777C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III - a identificação das partes envolvidas; e</w:t>
            </w:r>
          </w:p>
          <w:p w:rsidR="006C777C" w:rsidRPr="003A3E2C" w:rsidRDefault="006C777C" w:rsidP="006C777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C777C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IV - a identificação das características dos eventos e transações registrados.</w:t>
            </w:r>
          </w:p>
          <w:p w:rsidR="006C777C" w:rsidRPr="003A3E2C" w:rsidRDefault="006C777C" w:rsidP="006C777C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77C" w:rsidRPr="003A3E2C" w:rsidRDefault="006C777C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5º  O registro de que trata o art. 3º deverá ser efetuado em prazo compatível com a complexidade do evento ou transação registrada, ficando a Susep autorizada a estabelecer prazos máximos.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Art. 6º  As supervisionadas deverão registrar todos os eventos e transações relativos a uma mesma operação em um mesmo sistema de registro.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 1º A cada operação deverá ser atribuído um código de identificação único e permanente, que a identifique de forma inequívoca em cada evento ou transação objeto de registro.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 2º Os critérios utilizados para definição dos códigos de identificação de que trata o § 1º deste artigo devem estar à disposição da Susep.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 3º A numeração de que trata o § 1º deste artigo deve ser preservada no caso de eventual migração de registro entre diferentes sistemas.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jc w:val="center"/>
              <w:rPr>
                <w:rFonts w:asciiTheme="minorHAnsi" w:hAnsiTheme="minorHAnsi"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Capítulo III</w:t>
            </w:r>
          </w:p>
          <w:p w:rsidR="006C777C" w:rsidRPr="003A3E2C" w:rsidRDefault="006C777C" w:rsidP="006C777C">
            <w:pPr>
              <w:pStyle w:val="NormalWeb"/>
              <w:jc w:val="center"/>
              <w:rPr>
                <w:rFonts w:asciiTheme="minorHAnsi" w:hAnsiTheme="minorHAnsi"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Do Procedimento de Conciliação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Art. 7º  As supervisionadas deverão adotar procedimentos de conciliação de modo a assegurar que as informações armazenadas nos sistemas de registro reflitam com exatidão as informações mantidas em seus controles.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Parágrafo único. A periodicidade e o nível de detalhamento da conciliação de que trata 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caput</w:t>
            </w:r>
            <w:r w:rsidRPr="003A3E2C">
              <w:rPr>
                <w:rFonts w:asciiTheme="minorHAnsi" w:hAnsiTheme="minorHAnsi"/>
                <w:color w:val="000000"/>
              </w:rPr>
              <w:t> devem ser compatíveis com a finalidade das informações armazenadas.</w:t>
            </w:r>
          </w:p>
          <w:p w:rsidR="00543802" w:rsidRPr="003A3E2C" w:rsidRDefault="00543802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jc w:val="center"/>
              <w:rPr>
                <w:rFonts w:asciiTheme="minorHAnsi" w:hAnsiTheme="minorHAnsi"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Capítulo IV</w:t>
            </w:r>
          </w:p>
          <w:p w:rsidR="006C777C" w:rsidRPr="003A3E2C" w:rsidRDefault="006C777C" w:rsidP="006C777C">
            <w:pPr>
              <w:pStyle w:val="NormalWeb"/>
              <w:jc w:val="center"/>
              <w:rPr>
                <w:rFonts w:asciiTheme="minorHAnsi" w:hAnsiTheme="minorHAnsi"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Das Entidades Registradoras e Dos Sistemas de Registro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8º  Para o atendimento ao disposto no art. 3º, os registros deverão ser efetuados em sistemas: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I - homologados previamente pela Susep; e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 - administrados por entidades registradoras credenciadas pela Susep para a prestação do serviço de que trata esta Resolução.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9º  Para o credenciamento na Susep, as entidades registradoras devem atender aos seguintes requisitos mínimos:</w:t>
            </w:r>
          </w:p>
          <w:p w:rsidR="00543802" w:rsidRPr="003A3E2C" w:rsidRDefault="00543802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 - comprovar a observância de padrões técnicos adequados, a critério da Susep e em linha com os Princípios para Infraestruturas do Mercado Financeiro do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Bank for International Settlements</w:t>
            </w:r>
            <w:r w:rsidRPr="003A3E2C">
              <w:rPr>
                <w:rFonts w:asciiTheme="minorHAnsi" w:hAnsiTheme="minorHAnsi"/>
                <w:color w:val="000000"/>
              </w:rPr>
              <w:t> (BIS), inclusive no que diz respeito à segurança, à governança e à continuidade de negócios;</w:t>
            </w:r>
          </w:p>
          <w:p w:rsidR="00543802" w:rsidRPr="003A3E2C" w:rsidRDefault="00543802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II - assegurar à Susep o acesso integral às informações mantidas por si ou por terceiros por elas contratados para realizar atividades relacionadas com o registro de operações;</w:t>
            </w:r>
          </w:p>
          <w:p w:rsidR="00543802" w:rsidRPr="003A3E2C" w:rsidRDefault="00543802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III - estar constituída sob a forma de sociedade anônima;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IV - possuir Patrimônio Líquido mínimo de R$ 15.000.000,00 (quinze milhões de reais);</w:t>
            </w:r>
          </w:p>
          <w:p w:rsidR="00543802" w:rsidRPr="003A3E2C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V - assegurar aos participantes do sistema o acesso a informações claras e objetivas, que lhes permitam identificar os riscos em que incorram nos sistemas que utilizem;</w:t>
            </w:r>
          </w:p>
          <w:p w:rsidR="00543802" w:rsidRPr="003A3E2C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VI - firmar convênio com a Susep;</w:t>
            </w:r>
          </w:p>
          <w:p w:rsidR="00543802" w:rsidRPr="003A3E2C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VII -  apresentar sua política de sigilo de dados, acompanhada de declaração expressa de conformidade à legislação e regulação vigentes;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VIII - possuir estatuto social compatível com as atividades de registro de operações de seguros, previdência complementar aberta, capitalização e resseguros; e</w:t>
            </w:r>
          </w:p>
          <w:p w:rsidR="00543802" w:rsidRPr="003A3E2C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IX - oferecer serviço de registro para todas as operações de seguro, de previdência complementar aberta, de capitalização e de resseguro cujo registro seja obrigatório.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 1º O credenciamento de que trata 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caput</w:t>
            </w:r>
            <w:r w:rsidRPr="003A3E2C">
              <w:rPr>
                <w:rFonts w:asciiTheme="minorHAnsi" w:hAnsiTheme="minorHAnsi"/>
                <w:color w:val="000000"/>
              </w:rPr>
              <w:t> deve ser renovado, no mínimo, a cada quatro anos.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 2º No convênio de que trata o inciso VI do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caput</w:t>
            </w:r>
            <w:r w:rsidRPr="003A3E2C">
              <w:rPr>
                <w:rFonts w:asciiTheme="minorHAnsi" w:hAnsiTheme="minorHAnsi"/>
                <w:color w:val="000000"/>
              </w:rPr>
              <w:t> deste artigo, serão definidos, no mínimo:</w:t>
            </w:r>
          </w:p>
          <w:p w:rsidR="00543802" w:rsidRPr="003A3E2C" w:rsidRDefault="0054380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I - os mecanismos que assegurem a interoperabilidade com os demais sistemas de registro homologados pela Susep;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 - a previsão de fornecimento de relatórios periódicos e serviços a serem prestados à Susep, por meio de ferramenta de exploração de dados;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6C777C" w:rsidRPr="003A3E2C" w:rsidRDefault="006C777C" w:rsidP="006C777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III - a previsão de implantação de mecanismos de validação dos registros submetidos;</w:t>
            </w:r>
          </w:p>
          <w:p w:rsidR="00543802" w:rsidRPr="003A3E2C" w:rsidRDefault="0054380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IV - a previsão de notificação à Susep de desvios reiterados das entidades supervisionadas e de operações atípicas; e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V - demais obrigações estabelecidas pela Susep.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Art. 10.  A Susep poderá, a qualquer tempo e a seu critério, cancelar o credenciamento da entidade registradora, quando constatada a inobservância dos requisitos estabelecidos no art. 9º ou o descumprimento de disposições contidas em regulamentação específica.</w:t>
            </w:r>
          </w:p>
          <w:p w:rsidR="00543802" w:rsidRPr="003A3E2C" w:rsidRDefault="00543802" w:rsidP="003A3E2C">
            <w:pPr>
              <w:pStyle w:val="textojustificadorecuoprimeiralinha"/>
              <w:spacing w:before="120" w:beforeAutospacing="0" w:after="120" w:afterAutospacing="0"/>
              <w:ind w:left="120" w:right="120" w:firstLine="708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jc w:val="center"/>
              <w:rPr>
                <w:rFonts w:asciiTheme="minorHAnsi" w:hAnsiTheme="minorHAnsi"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Capítulo V</w:t>
            </w:r>
          </w:p>
          <w:p w:rsidR="003A3E2C" w:rsidRPr="003A3E2C" w:rsidRDefault="003A3E2C" w:rsidP="003A3E2C">
            <w:pPr>
              <w:pStyle w:val="NormalWeb"/>
              <w:jc w:val="center"/>
              <w:rPr>
                <w:rFonts w:asciiTheme="minorHAnsi" w:hAnsiTheme="minorHAnsi"/>
                <w:color w:val="000000"/>
              </w:rPr>
            </w:pPr>
            <w:r w:rsidRPr="003A3E2C">
              <w:rPr>
                <w:rStyle w:val="Forte"/>
                <w:rFonts w:asciiTheme="minorHAnsi" w:hAnsiTheme="minorHAnsi"/>
                <w:color w:val="000000"/>
              </w:rPr>
              <w:t>Disposições Finais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11.  As atividades de armazenamento e processamento dos dados referentes às operações de que trata esta Resolução, de forma total, parcial ou compartilhada, poderão ser realizadas diretamente pela Susep, a seu critério, sendo esta ressarcida pelos custos de tais atividades, pelas supervisionadas.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12.  As supervisionadas deverão indicar diretor responsável pelo cumprimento do disposto na presente Resolução.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Art. 13.  É facultado às supervisionadas o registro de suas operações de seguros, previdência complementar aberta, capitalização e resseguros, ressalvadas as exigências de registro obrigatório constantes em regulamentação específica, conforme disposto no inciso II do </w:t>
            </w:r>
            <w:r w:rsidRPr="002B73F0">
              <w:rPr>
                <w:rStyle w:val="Forte"/>
                <w:rFonts w:asciiTheme="minorHAnsi" w:hAnsiTheme="minorHAnsi"/>
                <w:color w:val="000000"/>
              </w:rPr>
              <w:t>caput</w:t>
            </w:r>
            <w:r w:rsidRPr="003A3E2C">
              <w:rPr>
                <w:rFonts w:asciiTheme="minorHAnsi" w:hAnsiTheme="minorHAnsi"/>
                <w:color w:val="000000"/>
              </w:rPr>
              <w:t> do art. 15.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 14.  As supervisionadas não poderão registrar suas operações em entidades registradoras que mantenham controle.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§1º A vedação do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caput</w:t>
            </w:r>
            <w:r w:rsidRPr="003A3E2C">
              <w:rPr>
                <w:rFonts w:asciiTheme="minorHAnsi" w:hAnsiTheme="minorHAnsi"/>
                <w:color w:val="000000"/>
              </w:rPr>
              <w:t> é extensível ao caso em que a supervisionada e a entidade registradora são controladas por uma mesma entidade.</w:t>
            </w:r>
          </w:p>
          <w:p w:rsidR="00543802" w:rsidRPr="003A3E2C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§2º Para efeitos do disposto neste artigo, entende-se como controle a titularidade, direta ou indireta, isoladamente ou em conjunto com outros sócios, de direitos de sócio capazes de assegurar permanentemente a preponderância nas deliberações sociais e o poder de eleger ou destituir a maioria dos administradores.</w:t>
            </w:r>
          </w:p>
          <w:p w:rsidR="00543802" w:rsidRPr="003A3E2C" w:rsidRDefault="0054380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80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15.  A Susep editará as normas complementares necessárias à execução do disposto nesta Resolução, inclusive para a definição:</w:t>
            </w:r>
          </w:p>
          <w:p w:rsidR="00543802" w:rsidRPr="003A3E2C" w:rsidRDefault="0054380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3A3E2C" w:rsidRDefault="0054380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138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 - das regras de credenciamento das entidades registradoras de operações de seguros, previdência complementar aberta, capitalização e resseguros e de homologação dos sistemas de registro;</w:t>
            </w:r>
          </w:p>
          <w:p w:rsidR="00531382" w:rsidRPr="003A3E2C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138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 - das datas em que as supervisionadas iniciarão o registro obrigatório de que trata o art. 3º; e</w:t>
            </w:r>
          </w:p>
          <w:p w:rsidR="00531382" w:rsidRPr="003A3E2C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138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III - das informações mínimas referentes aos registros das operações de que trata o art. 3º.</w:t>
            </w:r>
          </w:p>
          <w:p w:rsidR="00531382" w:rsidRPr="003A3E2C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138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lastRenderedPageBreak/>
              <w:t>Parágrafo único. As datas de que trata o inciso II do </w:t>
            </w:r>
            <w:r w:rsidRPr="003A3E2C">
              <w:rPr>
                <w:rStyle w:val="Forte"/>
                <w:rFonts w:asciiTheme="minorHAnsi" w:hAnsiTheme="minorHAnsi"/>
                <w:color w:val="000000"/>
              </w:rPr>
              <w:t>caput</w:t>
            </w:r>
            <w:r w:rsidRPr="003A3E2C">
              <w:rPr>
                <w:rFonts w:asciiTheme="minorHAnsi" w:hAnsiTheme="minorHAnsi"/>
                <w:color w:val="000000"/>
              </w:rPr>
              <w:t> poderão ser diferentes em função dos ramos de seguro, modalidades de previdência complementar aberta, modalidades de capitalização e tipos de contratos de resseguro.</w:t>
            </w:r>
          </w:p>
          <w:p w:rsidR="00531382" w:rsidRPr="003A3E2C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528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3A3E2C" w:rsidRDefault="0053138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1382" w:rsidRPr="003A3E2C" w:rsidTr="000B3AEC">
        <w:trPr>
          <w:trHeight w:val="2098"/>
        </w:trPr>
        <w:tc>
          <w:tcPr>
            <w:tcW w:w="4112" w:type="dxa"/>
          </w:tcPr>
          <w:p w:rsidR="003A3E2C" w:rsidRPr="003A3E2C" w:rsidRDefault="003A3E2C" w:rsidP="003A3E2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3A3E2C">
              <w:rPr>
                <w:rFonts w:asciiTheme="minorHAnsi" w:hAnsiTheme="minorHAnsi"/>
                <w:color w:val="000000"/>
              </w:rPr>
              <w:t>Art. 16.  Esta Resolução entra em vigor na data de sua publicação.</w:t>
            </w:r>
          </w:p>
          <w:p w:rsidR="00531382" w:rsidRPr="003A3E2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aps/>
                <w:color w:val="000000"/>
              </w:rPr>
            </w:pPr>
          </w:p>
        </w:tc>
        <w:tc>
          <w:tcPr>
            <w:tcW w:w="5528" w:type="dxa"/>
          </w:tcPr>
          <w:p w:rsidR="00531382" w:rsidRPr="003A3E2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aps/>
                <w:color w:val="000000"/>
              </w:rPr>
            </w:pPr>
          </w:p>
        </w:tc>
        <w:tc>
          <w:tcPr>
            <w:tcW w:w="6095" w:type="dxa"/>
          </w:tcPr>
          <w:p w:rsidR="00531382" w:rsidRPr="003A3E2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Theme="minorHAnsi" w:hAnsiTheme="minorHAnsi"/>
                <w:b/>
                <w:bCs/>
                <w:caps/>
                <w:color w:val="000000"/>
              </w:rPr>
            </w:pPr>
          </w:p>
        </w:tc>
      </w:tr>
    </w:tbl>
    <w:p w:rsidR="00A7007A" w:rsidRPr="003A3E2C" w:rsidRDefault="00A7007A" w:rsidP="00F77AE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A7007A" w:rsidRPr="003A3E2C" w:rsidSect="00760BE5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B3AEC"/>
    <w:rsid w:val="000C268E"/>
    <w:rsid w:val="000F2804"/>
    <w:rsid w:val="000F2A10"/>
    <w:rsid w:val="00130340"/>
    <w:rsid w:val="00155A64"/>
    <w:rsid w:val="001735BA"/>
    <w:rsid w:val="00176C0C"/>
    <w:rsid w:val="00176EF2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57EB8"/>
    <w:rsid w:val="00264BBB"/>
    <w:rsid w:val="00270E63"/>
    <w:rsid w:val="0028103A"/>
    <w:rsid w:val="0029011E"/>
    <w:rsid w:val="00295C8F"/>
    <w:rsid w:val="002A1A83"/>
    <w:rsid w:val="002A1D3B"/>
    <w:rsid w:val="002A23FE"/>
    <w:rsid w:val="002B73F0"/>
    <w:rsid w:val="002C7E4B"/>
    <w:rsid w:val="002D36DD"/>
    <w:rsid w:val="002D48E0"/>
    <w:rsid w:val="002D78FE"/>
    <w:rsid w:val="002E2904"/>
    <w:rsid w:val="002E4646"/>
    <w:rsid w:val="002F0296"/>
    <w:rsid w:val="002F0A0F"/>
    <w:rsid w:val="002F574A"/>
    <w:rsid w:val="002F5974"/>
    <w:rsid w:val="00304575"/>
    <w:rsid w:val="003060BF"/>
    <w:rsid w:val="003678A7"/>
    <w:rsid w:val="00372E83"/>
    <w:rsid w:val="00377F9A"/>
    <w:rsid w:val="003A19DD"/>
    <w:rsid w:val="003A3E2C"/>
    <w:rsid w:val="003B5988"/>
    <w:rsid w:val="003C3930"/>
    <w:rsid w:val="003C411A"/>
    <w:rsid w:val="003C5860"/>
    <w:rsid w:val="003C6FA8"/>
    <w:rsid w:val="003F0C6B"/>
    <w:rsid w:val="003F3552"/>
    <w:rsid w:val="003F7641"/>
    <w:rsid w:val="00421ED8"/>
    <w:rsid w:val="004343BF"/>
    <w:rsid w:val="0045653D"/>
    <w:rsid w:val="00457DCA"/>
    <w:rsid w:val="0048652D"/>
    <w:rsid w:val="004964D8"/>
    <w:rsid w:val="004A083C"/>
    <w:rsid w:val="004B192E"/>
    <w:rsid w:val="004B421D"/>
    <w:rsid w:val="00523C99"/>
    <w:rsid w:val="005312EF"/>
    <w:rsid w:val="00531382"/>
    <w:rsid w:val="005426C5"/>
    <w:rsid w:val="00543802"/>
    <w:rsid w:val="00544071"/>
    <w:rsid w:val="00552A76"/>
    <w:rsid w:val="0055494E"/>
    <w:rsid w:val="00567D75"/>
    <w:rsid w:val="00570C75"/>
    <w:rsid w:val="00573B11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D2D98"/>
    <w:rsid w:val="005E19AE"/>
    <w:rsid w:val="005E5CDA"/>
    <w:rsid w:val="005F1C4D"/>
    <w:rsid w:val="005F515A"/>
    <w:rsid w:val="00610D85"/>
    <w:rsid w:val="006114A5"/>
    <w:rsid w:val="006269F0"/>
    <w:rsid w:val="00627BDD"/>
    <w:rsid w:val="006454B6"/>
    <w:rsid w:val="00647AB0"/>
    <w:rsid w:val="00657A7B"/>
    <w:rsid w:val="006656F5"/>
    <w:rsid w:val="0066637A"/>
    <w:rsid w:val="006B0B15"/>
    <w:rsid w:val="006B0E42"/>
    <w:rsid w:val="006B4E52"/>
    <w:rsid w:val="006C5D2D"/>
    <w:rsid w:val="006C6C0F"/>
    <w:rsid w:val="006C777C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60862"/>
    <w:rsid w:val="00760AD1"/>
    <w:rsid w:val="00760BE5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50415"/>
    <w:rsid w:val="0085209E"/>
    <w:rsid w:val="00861931"/>
    <w:rsid w:val="00872A16"/>
    <w:rsid w:val="0087552D"/>
    <w:rsid w:val="00887B6B"/>
    <w:rsid w:val="00890C4A"/>
    <w:rsid w:val="008A40C6"/>
    <w:rsid w:val="008A4D30"/>
    <w:rsid w:val="008B6E30"/>
    <w:rsid w:val="008D0933"/>
    <w:rsid w:val="008D23A4"/>
    <w:rsid w:val="008E01B8"/>
    <w:rsid w:val="0093632E"/>
    <w:rsid w:val="00942665"/>
    <w:rsid w:val="00944FA8"/>
    <w:rsid w:val="00944FB5"/>
    <w:rsid w:val="00946132"/>
    <w:rsid w:val="00983740"/>
    <w:rsid w:val="00994555"/>
    <w:rsid w:val="00996997"/>
    <w:rsid w:val="009A2D25"/>
    <w:rsid w:val="009A5EE7"/>
    <w:rsid w:val="009B3204"/>
    <w:rsid w:val="009B7FB6"/>
    <w:rsid w:val="009C10AF"/>
    <w:rsid w:val="009D4451"/>
    <w:rsid w:val="009E3F57"/>
    <w:rsid w:val="009E617C"/>
    <w:rsid w:val="00A318CF"/>
    <w:rsid w:val="00A372CC"/>
    <w:rsid w:val="00A47AC2"/>
    <w:rsid w:val="00A7007A"/>
    <w:rsid w:val="00A72C6F"/>
    <w:rsid w:val="00A72FEF"/>
    <w:rsid w:val="00A74299"/>
    <w:rsid w:val="00A75039"/>
    <w:rsid w:val="00A92232"/>
    <w:rsid w:val="00A9379E"/>
    <w:rsid w:val="00AD279E"/>
    <w:rsid w:val="00AD4D16"/>
    <w:rsid w:val="00B039ED"/>
    <w:rsid w:val="00B045B4"/>
    <w:rsid w:val="00B06171"/>
    <w:rsid w:val="00B165C8"/>
    <w:rsid w:val="00B32006"/>
    <w:rsid w:val="00B4188E"/>
    <w:rsid w:val="00B61B66"/>
    <w:rsid w:val="00B65686"/>
    <w:rsid w:val="00B96BDE"/>
    <w:rsid w:val="00BB10F7"/>
    <w:rsid w:val="00BB15DB"/>
    <w:rsid w:val="00BB4B28"/>
    <w:rsid w:val="00BC71AF"/>
    <w:rsid w:val="00BD468E"/>
    <w:rsid w:val="00BD7D32"/>
    <w:rsid w:val="00BE392B"/>
    <w:rsid w:val="00BE3D11"/>
    <w:rsid w:val="00BE78B6"/>
    <w:rsid w:val="00BF64A4"/>
    <w:rsid w:val="00C00721"/>
    <w:rsid w:val="00C03395"/>
    <w:rsid w:val="00C03BF8"/>
    <w:rsid w:val="00C11B4F"/>
    <w:rsid w:val="00C223BA"/>
    <w:rsid w:val="00C4773A"/>
    <w:rsid w:val="00C633C6"/>
    <w:rsid w:val="00C7286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D0590B"/>
    <w:rsid w:val="00D127A7"/>
    <w:rsid w:val="00D163C8"/>
    <w:rsid w:val="00D25D1F"/>
    <w:rsid w:val="00D34117"/>
    <w:rsid w:val="00D56ED5"/>
    <w:rsid w:val="00D572F3"/>
    <w:rsid w:val="00D57C38"/>
    <w:rsid w:val="00D6588E"/>
    <w:rsid w:val="00D712E6"/>
    <w:rsid w:val="00D743A2"/>
    <w:rsid w:val="00D8678C"/>
    <w:rsid w:val="00D9152B"/>
    <w:rsid w:val="00D96093"/>
    <w:rsid w:val="00DA47BA"/>
    <w:rsid w:val="00DB174C"/>
    <w:rsid w:val="00DB242F"/>
    <w:rsid w:val="00DD09F8"/>
    <w:rsid w:val="00DD72B5"/>
    <w:rsid w:val="00DD74F7"/>
    <w:rsid w:val="00E324A1"/>
    <w:rsid w:val="00E33914"/>
    <w:rsid w:val="00E554A5"/>
    <w:rsid w:val="00E5726C"/>
    <w:rsid w:val="00E83D62"/>
    <w:rsid w:val="00E87FC9"/>
    <w:rsid w:val="00EA7A41"/>
    <w:rsid w:val="00EB685D"/>
    <w:rsid w:val="00EC0A5D"/>
    <w:rsid w:val="00ED3294"/>
    <w:rsid w:val="00ED553A"/>
    <w:rsid w:val="00ED75A3"/>
    <w:rsid w:val="00EE1F92"/>
    <w:rsid w:val="00EF2214"/>
    <w:rsid w:val="00EF7C16"/>
    <w:rsid w:val="00F00213"/>
    <w:rsid w:val="00F00C2C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77AE4"/>
    <w:rsid w:val="00F97A00"/>
    <w:rsid w:val="00FA06E1"/>
    <w:rsid w:val="00FA3439"/>
    <w:rsid w:val="00FB32B3"/>
    <w:rsid w:val="00FD3F9D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1ate9">
    <w:name w:val="artigo_1_ate_9º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8">
    <w:name w:val="tabela_texto_8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57E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7EB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E1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9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9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9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centralizadomaiusculasnegrito">
    <w:name w:val="texto_centralizado_maiusculas_negrito"/>
    <w:basedOn w:val="Normal"/>
    <w:rsid w:val="00543802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C72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65F1-72E8-4AE7-B24A-674C8783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Leonardo da Cruz Nassif</cp:lastModifiedBy>
  <cp:revision>2</cp:revision>
  <cp:lastPrinted>2016-05-19T13:03:00Z</cp:lastPrinted>
  <dcterms:created xsi:type="dcterms:W3CDTF">2019-12-20T19:14:00Z</dcterms:created>
  <dcterms:modified xsi:type="dcterms:W3CDTF">2019-12-20T19:14:00Z</dcterms:modified>
</cp:coreProperties>
</file>