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F0" w:rsidRDefault="00744B32">
      <w:pPr>
        <w:spacing w:line="360" w:lineRule="exact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603250</wp:posOffset>
                </wp:positionV>
                <wp:extent cx="172085" cy="5611495"/>
                <wp:effectExtent l="3175" t="127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561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Bodytext2Exact0"/>
                                <w:b/>
                                <w:bCs/>
                              </w:rPr>
                              <w:t>ANEXO Quadro Comparativo - Consulta Pública (0582925) SEI 15414.622511/2019-19 / pg. 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47.5pt;width:13.55pt;height:441.8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vdqgIAAKk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" filled="f" stroked="f">
                <v:textbox style="layout-flow:vertical" inset="0,0,0,0">
                  <w:txbxContent>
                    <w:p w:rsidR="004124F0" w:rsidRDefault="0055696A">
                      <w:pPr>
                        <w:pStyle w:val="Bodytext2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Bodytext2Exact0"/>
                          <w:b/>
                          <w:bCs/>
                        </w:rPr>
                        <w:t>ANEXO Quadro Comparativo - Consulta Pública (0582925) SEI 15414.622511/2019-19 / pg.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454025</wp:posOffset>
                </wp:positionH>
                <wp:positionV relativeFrom="paragraph">
                  <wp:posOffset>0</wp:posOffset>
                </wp:positionV>
                <wp:extent cx="9756775" cy="67189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6775" cy="671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  <w:gridCol w:w="4789"/>
                              <w:gridCol w:w="4906"/>
                            </w:tblGrid>
                            <w:tr w:rsidR="004124F0" w:rsidTr="00744B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24F0" w:rsidRDefault="0055696A">
                                  <w:pPr>
                                    <w:pStyle w:val="Bodytext20"/>
                                    <w:shd w:val="clear" w:color="auto" w:fill="auto"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Style w:val="Bodytext2TimesNewRoman"/>
                                      <w:rFonts w:eastAsia="CordiaUPC"/>
                                      <w:b/>
                                      <w:bCs/>
                                    </w:rPr>
                                    <w:t>MINUTA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24F0" w:rsidRDefault="0055696A">
                                  <w:pPr>
                                    <w:pStyle w:val="Bodytext20"/>
                                    <w:shd w:val="clear" w:color="auto" w:fill="auto"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Style w:val="Bodytext2TimesNewRoman"/>
                                      <w:rFonts w:eastAsia="CordiaUPC"/>
                                      <w:b/>
                                      <w:bCs/>
                                    </w:rPr>
                                    <w:t>SUGESTÕES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24F0" w:rsidRDefault="0055696A">
                                  <w:pPr>
                                    <w:pStyle w:val="Bodytext20"/>
                                    <w:shd w:val="clear" w:color="auto" w:fill="auto"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Style w:val="Bodytext2TimesNewRoman"/>
                                      <w:rFonts w:eastAsia="CordiaUPC"/>
                                      <w:b/>
                                      <w:bCs/>
                                    </w:rPr>
                                    <w:t>JUSTIFICATIVAS</w:t>
                                  </w:r>
                                </w:p>
                              </w:tc>
                            </w:tr>
                            <w:tr w:rsidR="004124F0" w:rsidTr="00744B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 w:rsidTr="00744B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124F0" w:rsidRDefault="0055696A">
                                  <w:pPr>
                                    <w:pStyle w:val="Bodytext20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TimesNewRoman11pt"/>
                                      <w:rFonts w:eastAsia="CordiaUPC"/>
                                      <w:b/>
                                      <w:bCs/>
                                    </w:rPr>
                                    <w:t>RESOLUÇÃO CNSP N°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Style w:val="Bodytext2TimesNewRoman11pt"/>
                                      <w:rFonts w:eastAsia="CordiaUPC"/>
                                      <w:b/>
                                      <w:bCs/>
                                    </w:rPr>
                                    <w:t xml:space="preserve"> , </w:t>
                                  </w:r>
                                  <w:r>
                                    <w:rPr>
                                      <w:rStyle w:val="Bodytext2TimesNewRoman11pt"/>
                                      <w:rFonts w:eastAsia="CordiaUPC"/>
                                      <w:b/>
                                      <w:bCs/>
                                    </w:rPr>
                                    <w:t>DE 2019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 w:rsidTr="00744B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 w:rsidTr="00744B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11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24F0" w:rsidRDefault="0055696A">
                                  <w:pPr>
                                    <w:pStyle w:val="Bodytext20"/>
                                    <w:shd w:val="clear" w:color="auto" w:fill="auto"/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Bodytext2TimesNewRoman11ptNotBoldItalic"/>
                                      <w:rFonts w:eastAsia="CordiaUPC"/>
                                    </w:rPr>
                                    <w:t>Altera a Resolução CNSP n° 168, de 17 de dezembro de 2007.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 w:rsidTr="00744B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 w:rsidTr="00744B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88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24F0" w:rsidRDefault="0055696A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Bodytext2TimesNewRoman11pt"/>
                                      <w:rFonts w:eastAsia="CordiaUPC"/>
                                      <w:b/>
                                      <w:bCs/>
                                    </w:rPr>
                                    <w:t xml:space="preserve">A SUPERINTENDÊNCIA DE </w:t>
                                  </w:r>
                                  <w:r>
                                    <w:rPr>
                                      <w:rStyle w:val="Bodytext2TimesNewRoman11pt"/>
                                      <w:rFonts w:eastAsia="CordiaUPC"/>
                                      <w:b/>
                                      <w:bCs/>
                                    </w:rPr>
                                    <w:t>SEGUROS PRIVADOS - SUSEP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>, no uso da</w:t>
                                  </w:r>
                                </w:p>
                                <w:p w:rsidR="004124F0" w:rsidRDefault="0055696A">
                                  <w:pPr>
                                    <w:pStyle w:val="Bodytext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 xml:space="preserve">atribuição que lhe confere o art. 34, inciso XI, do Decreto n° 60.459, de 13 de março de 1967, e considerando o que consta do Processo SUSEP n° 15414.622511/2019-19, torna público que o </w:t>
                                  </w:r>
                                  <w:r>
                                    <w:rPr>
                                      <w:rStyle w:val="Bodytext2TimesNewRoman11pt"/>
                                      <w:rFonts w:eastAsia="CordiaUPC"/>
                                      <w:b/>
                                      <w:bCs/>
                                    </w:rPr>
                                    <w:t>CONSELHO NACIONAL DE SEGUROS PRIVA</w:t>
                                  </w:r>
                                  <w:r>
                                    <w:rPr>
                                      <w:rStyle w:val="Bodytext2TimesNewRoman11pt"/>
                                      <w:rFonts w:eastAsia="CordiaUPC"/>
                                      <w:b/>
                                      <w:bCs/>
                                    </w:rPr>
                                    <w:t>DOS - CNSP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>, em sessão ordinária realizada em XX de XXXXX de XXXX , na forma do que estabelece o inciso I do artigo 32, do Decreto Lei n° 73, de 21 de novembro de 1966,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 w:rsidTr="00744B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 w:rsidTr="00744B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124F0" w:rsidRDefault="0055696A">
                                  <w:pPr>
                                    <w:pStyle w:val="Bodytext20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Bodytext2TimesNewRoman11ptSpacing2pt"/>
                                      <w:rFonts w:eastAsia="CordiaUPC"/>
                                      <w:b/>
                                      <w:bCs/>
                                    </w:rPr>
                                    <w:t>RESOLVEU: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 w:rsidTr="00744B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55696A">
                                  <w:pPr>
                                    <w:pStyle w:val="Bodytext20"/>
                                    <w:shd w:val="clear" w:color="auto" w:fill="auto"/>
                                    <w:spacing w:line="317" w:lineRule="exact"/>
                                    <w:jc w:val="both"/>
                                  </w:pP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>Art. 1° Alterar a Resolução CNSP n° 168, de 17 de dezembro de 2007.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 w:rsidTr="00744B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 w:rsidTr="00744B3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62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55696A">
                                  <w:pPr>
                                    <w:pStyle w:val="Bodytext20"/>
                                    <w:shd w:val="clear" w:color="auto" w:fill="auto"/>
                                    <w:spacing w:after="120" w:line="322" w:lineRule="exact"/>
                                    <w:jc w:val="both"/>
                                  </w:pP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>Art. 2° O § 1° do art. 2° da Resolução CNSP n° 168, de 2007, passa a vigorar com a seguinte redação:</w:t>
                                  </w:r>
                                </w:p>
                                <w:p w:rsidR="004124F0" w:rsidRDefault="0055696A">
                                  <w:pPr>
                                    <w:pStyle w:val="Bodytext20"/>
                                    <w:shd w:val="clear" w:color="auto" w:fill="auto"/>
                                    <w:spacing w:before="120" w:line="317" w:lineRule="exact"/>
                                    <w:jc w:val="both"/>
                                  </w:pP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 xml:space="preserve">“§ 1° Equiparam-se à sociedade seguradora a sociedade 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  <w:lang w:val="pt-BR" w:eastAsia="pt-BR" w:bidi="pt-BR"/>
                                    </w:rPr>
                                    <w:t xml:space="preserve">cooperativa 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 xml:space="preserve">autorizada a 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  <w:lang w:val="pt-BR" w:eastAsia="pt-BR" w:bidi="pt-BR"/>
                                    </w:rPr>
                                    <w:t xml:space="preserve">operar 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 xml:space="preserve">em seguros privados e a Entidade Aberta de Previdência Complementar (EAPC) que contratam operação de resseguro, desde que as sejam aplicadas as condições impostas 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  <w:lang w:val="pt-BR" w:eastAsia="pt-BR" w:bidi="pt-BR"/>
                                    </w:rPr>
                                    <w:t xml:space="preserve">às 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 xml:space="preserve">seguradoras pelo CNSP. 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  <w:lang w:val="pt-BR" w:eastAsia="pt-BR" w:bidi="pt-BR"/>
                                    </w:rPr>
                                    <w:t>(NR)”</w:t>
                                  </w:r>
                                </w:p>
                              </w:tc>
                              <w:tc>
                                <w:tcPr>
                                  <w:tcW w:w="4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4F0" w:rsidRDefault="004124F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.75pt;margin-top:0;width:768.25pt;height:529.0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  <w:gridCol w:w="4789"/>
                        <w:gridCol w:w="4906"/>
                      </w:tblGrid>
                      <w:tr w:rsidR="004124F0" w:rsidTr="00744B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line="300" w:lineRule="exact"/>
                              <w:jc w:val="center"/>
                            </w:pPr>
                            <w:r>
                              <w:rPr>
                                <w:rStyle w:val="Bodytext2TimesNewRoman"/>
                                <w:rFonts w:eastAsia="CordiaUPC"/>
                                <w:b/>
                                <w:bCs/>
                              </w:rPr>
                              <w:t>MINUTA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line="300" w:lineRule="exact"/>
                              <w:jc w:val="center"/>
                            </w:pPr>
                            <w:r>
                              <w:rPr>
                                <w:rStyle w:val="Bodytext2TimesNewRoman"/>
                                <w:rFonts w:eastAsia="CordiaUPC"/>
                                <w:b/>
                                <w:bCs/>
                              </w:rPr>
                              <w:t>SUGESTÕES</w:t>
                            </w: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line="300" w:lineRule="exact"/>
                              <w:jc w:val="center"/>
                            </w:pPr>
                            <w:r>
                              <w:rPr>
                                <w:rStyle w:val="Bodytext2TimesNewRoman"/>
                                <w:rFonts w:eastAsia="CordiaUPC"/>
                                <w:b/>
                                <w:bCs/>
                              </w:rPr>
                              <w:t>JUSTIFICATIVAS</w:t>
                            </w:r>
                          </w:p>
                        </w:tc>
                      </w:tr>
                      <w:tr w:rsidR="004124F0" w:rsidTr="00744B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 w:rsidTr="00744B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Bodytext2TimesNewRoman11pt"/>
                                <w:rFonts w:eastAsia="CordiaUPC"/>
                                <w:b/>
                                <w:bCs/>
                              </w:rPr>
                              <w:t>RESOLUÇÃO CNSP N°</w:t>
                            </w:r>
                            <w:bookmarkStart w:id="1" w:name="_GoBack"/>
                            <w:bookmarkEnd w:id="1"/>
                            <w:r>
                              <w:rPr>
                                <w:rStyle w:val="Bodytext2TimesNewRoman11pt"/>
                                <w:rFonts w:eastAsia="CordiaUPC"/>
                                <w:b/>
                                <w:bCs/>
                              </w:rPr>
                              <w:t xml:space="preserve"> , </w:t>
                            </w:r>
                            <w:r>
                              <w:rPr>
                                <w:rStyle w:val="Bodytext2TimesNewRoman11pt"/>
                                <w:rFonts w:eastAsia="CordiaUPC"/>
                                <w:b/>
                                <w:bCs/>
                              </w:rPr>
                              <w:t>DE 2019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 w:rsidTr="00744B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 w:rsidTr="00744B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11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Bodytext2TimesNewRoman11ptNotBoldItalic"/>
                                <w:rFonts w:eastAsia="CordiaUPC"/>
                              </w:rPr>
                              <w:t>Altera a Resolução CNSP n° 168, de 17 de dezembro de 2007.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 w:rsidTr="00744B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 w:rsidTr="00744B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88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Bodytext2TimesNewRoman11pt"/>
                                <w:rFonts w:eastAsia="CordiaUPC"/>
                                <w:b/>
                                <w:bCs/>
                              </w:rPr>
                              <w:t xml:space="preserve">A SUPERINTENDÊNCIA DE </w:t>
                            </w:r>
                            <w:r>
                              <w:rPr>
                                <w:rStyle w:val="Bodytext2TimesNewRoman11pt"/>
                                <w:rFonts w:eastAsia="CordiaUPC"/>
                                <w:b/>
                                <w:bCs/>
                              </w:rPr>
                              <w:t>SEGUROS PRIVADOS - SUSEP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>, no uso da</w:t>
                            </w:r>
                          </w:p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 xml:space="preserve">atribuição que lhe confere o art. 34, inciso XI, do Decreto n° 60.459, de 13 de março de 1967, e considerando o que consta do Processo SUSEP n° 15414.622511/2019-19, torna público que o </w:t>
                            </w:r>
                            <w:r>
                              <w:rPr>
                                <w:rStyle w:val="Bodytext2TimesNewRoman11pt"/>
                                <w:rFonts w:eastAsia="CordiaUPC"/>
                                <w:b/>
                                <w:bCs/>
                              </w:rPr>
                              <w:t>CONSELHO NACIONAL DE SEGUROS PRIVA</w:t>
                            </w:r>
                            <w:r>
                              <w:rPr>
                                <w:rStyle w:val="Bodytext2TimesNewRoman11pt"/>
                                <w:rFonts w:eastAsia="CordiaUPC"/>
                                <w:b/>
                                <w:bCs/>
                              </w:rPr>
                              <w:t>DOS - CNSP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>, em sessão ordinária realizada em XX de XXXXX de XXXX , na forma do que estabelece o inciso I do artigo 32, do Decreto Lei n° 73, de 21 de novembro de 1966,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 w:rsidTr="00744B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 w:rsidTr="00744B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Bodytext2TimesNewRoman11ptSpacing2pt"/>
                                <w:rFonts w:eastAsia="CordiaUPC"/>
                                <w:b/>
                                <w:bCs/>
                              </w:rPr>
                              <w:t>RESOLVEU: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 w:rsidTr="00744B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line="317" w:lineRule="exact"/>
                              <w:jc w:val="both"/>
                            </w:pP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>Art. 1° Alterar a Resolução CNSP n° 168, de 17 de dezembro de 2007.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 w:rsidTr="00744B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 w:rsidTr="00744B3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62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after="120" w:line="322" w:lineRule="exact"/>
                              <w:jc w:val="both"/>
                            </w:pP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>Art. 2° O § 1° do art. 2° da Resolução CNSP n° 168, de 2007, passa a vigorar com a seguinte redação:</w:t>
                            </w:r>
                          </w:p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before="120" w:line="317" w:lineRule="exact"/>
                              <w:jc w:val="both"/>
                            </w:pP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 xml:space="preserve">“§ 1° Equiparam-se à sociedade seguradora a sociedade 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  <w:lang w:val="pt-BR" w:eastAsia="pt-BR" w:bidi="pt-BR"/>
                              </w:rPr>
                              <w:t xml:space="preserve">cooperativa 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 xml:space="preserve">autorizada a 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  <w:lang w:val="pt-BR" w:eastAsia="pt-BR" w:bidi="pt-BR"/>
                              </w:rPr>
                              <w:t xml:space="preserve">operar 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 xml:space="preserve">em seguros privados e a Entidade Aberta de Previdência Complementar (EAPC) que contratam operação de resseguro, desde que as sejam aplicadas as condições impostas 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  <w:lang w:val="pt-BR" w:eastAsia="pt-BR" w:bidi="pt-BR"/>
                              </w:rPr>
                              <w:t xml:space="preserve">às 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 xml:space="preserve">seguradoras pelo CNSP. 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  <w:lang w:val="pt-BR" w:eastAsia="pt-BR" w:bidi="pt-BR"/>
                              </w:rPr>
                              <w:t>(NR)”</w:t>
                            </w:r>
                          </w:p>
                        </w:tc>
                        <w:tc>
                          <w:tcPr>
                            <w:tcW w:w="47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124F0" w:rsidRDefault="004124F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448" w:lineRule="exact"/>
      </w:pPr>
    </w:p>
    <w:p w:rsidR="004124F0" w:rsidRDefault="004124F0">
      <w:pPr>
        <w:rPr>
          <w:sz w:val="2"/>
          <w:szCs w:val="2"/>
        </w:rPr>
        <w:sectPr w:rsidR="004124F0">
          <w:type w:val="continuous"/>
          <w:pgSz w:w="16840" w:h="11900" w:orient="landscape"/>
          <w:pgMar w:top="522" w:right="625" w:bottom="522" w:left="135" w:header="0" w:footer="3" w:gutter="0"/>
          <w:cols w:space="720"/>
          <w:noEndnote/>
          <w:docGrid w:linePitch="360"/>
        </w:sectPr>
      </w:pPr>
    </w:p>
    <w:p w:rsidR="004124F0" w:rsidRDefault="00744B32">
      <w:pPr>
        <w:spacing w:line="360" w:lineRule="exact"/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603250</wp:posOffset>
                </wp:positionV>
                <wp:extent cx="172085" cy="5629910"/>
                <wp:effectExtent l="3175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562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Bodytext2Exact0"/>
                                <w:b/>
                                <w:bCs/>
                              </w:rPr>
                              <w:t>ANEXO Quadro Comparativo - Consulta Pública (0582925) SEI 15414.622511/2019-19 / pg. 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25pt;margin-top:47.5pt;width:13.55pt;height:443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" filled="f" stroked="f">
                <v:textbox style="layout-flow:vertical" inset="0,0,0,0">
                  <w:txbxContent>
                    <w:p w:rsidR="004124F0" w:rsidRDefault="0055696A">
                      <w:pPr>
                        <w:pStyle w:val="Bodytext2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Bodytext2Exact0"/>
                          <w:b/>
                          <w:bCs/>
                        </w:rPr>
                        <w:t>ANEXO Quadro Comparativo - Consulta Pública (0582925) SEI 15414.622511/2019-19 / pg.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454025</wp:posOffset>
                </wp:positionH>
                <wp:positionV relativeFrom="paragraph">
                  <wp:posOffset>0</wp:posOffset>
                </wp:positionV>
                <wp:extent cx="9756775" cy="677481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6775" cy="677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57"/>
                              <w:gridCol w:w="5102"/>
                              <w:gridCol w:w="4906"/>
                            </w:tblGrid>
                            <w:tr w:rsidR="004124F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86"/>
                                <w:jc w:val="center"/>
                              </w:trPr>
                              <w:tc>
                                <w:tcPr>
                                  <w:tcW w:w="5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55696A">
                                  <w:pPr>
                                    <w:pStyle w:val="Bodytext20"/>
                                    <w:shd w:val="clear" w:color="auto" w:fill="auto"/>
                                    <w:spacing w:after="180" w:line="317" w:lineRule="exact"/>
                                    <w:jc w:val="both"/>
                                  </w:pP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>Art. 3° O art. 2° da Resolução CNSP n° 168, de 2007, passa a vigorar acrescido do § 3° a seguir:</w:t>
                                  </w:r>
                                </w:p>
                                <w:p w:rsidR="004124F0" w:rsidRDefault="0055696A">
                                  <w:pPr>
                                    <w:pStyle w:val="Bodytext20"/>
                                    <w:shd w:val="clear" w:color="auto" w:fill="auto"/>
                                    <w:spacing w:before="180" w:line="317" w:lineRule="exact"/>
                                    <w:jc w:val="both"/>
                                  </w:pP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>“§ 3° Equiparam-se à cedente a Entidade Fechada de Previdência Complementar (EFPC) e a operadora de plano privado de assistência à saúde que contratam operação de resseguro, sem prejuízo das atribuições de seu órgão regulador e fiscalizador, ficando as atr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 xml:space="preserve">ibuições da SUSEP, no tocante 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  <w:lang w:val="pt-BR" w:eastAsia="pt-BR" w:bidi="pt-BR"/>
                                    </w:rPr>
                                    <w:t xml:space="preserve">às 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 xml:space="preserve">EFPCs e 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  <w:lang w:val="pt-BR" w:eastAsia="pt-BR" w:bidi="pt-BR"/>
                                    </w:rPr>
                                    <w:t xml:space="preserve">às operadoras de planos privados de assistência à saúde, 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 xml:space="preserve">limitadas à supervisão dessas operações. 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  <w:lang w:val="pt-BR" w:eastAsia="pt-BR" w:bidi="pt-BR"/>
                                    </w:rPr>
                                    <w:t xml:space="preserve">(NR) 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5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86"/>
                                <w:jc w:val="center"/>
                              </w:trPr>
                              <w:tc>
                                <w:tcPr>
                                  <w:tcW w:w="5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55696A">
                                  <w:pPr>
                                    <w:pStyle w:val="Bodytext20"/>
                                    <w:shd w:val="clear" w:color="auto" w:fill="auto"/>
                                    <w:spacing w:after="120" w:line="317" w:lineRule="exact"/>
                                    <w:jc w:val="both"/>
                                  </w:pP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>Art. 4° O art. 44 da Resolução CNSP n° 168, de 2007, passa a vigorar com a redação a seguir:</w:t>
                                  </w:r>
                                </w:p>
                                <w:p w:rsidR="004124F0" w:rsidRDefault="0055696A">
                                  <w:pPr>
                                    <w:pStyle w:val="Bodytext20"/>
                                    <w:shd w:val="clear" w:color="auto" w:fill="auto"/>
                                    <w:spacing w:before="120" w:line="317" w:lineRule="exact"/>
                                    <w:jc w:val="both"/>
                                  </w:pP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 xml:space="preserve">“Art. 44. A SUSEP poderá, a qualquer tempo, realizar inspeções </w:t>
                                  </w:r>
                                  <w:r>
                                    <w:rPr>
                                      <w:rStyle w:val="Bodytext2TimesNewRoman11ptNotBoldItalic"/>
                                      <w:rFonts w:eastAsia="CordiaUPC"/>
                                    </w:rPr>
                                    <w:t>in loco,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 xml:space="preserve"> bem como exigir das entidades abertas de previdência complementar, das sociedades seguradoras, dos resseguradores locais, das corretoras de resseguro e dos escritórios de representação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>, a prestação de informações e a apresentação de documentos que julgar necessários para o exercício de suas funções de controle e fiscalização. (NR) ”.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5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62"/>
                                <w:jc w:val="center"/>
                              </w:trPr>
                              <w:tc>
                                <w:tcPr>
                                  <w:tcW w:w="5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55696A">
                                  <w:pPr>
                                    <w:pStyle w:val="Bodytext20"/>
                                    <w:shd w:val="clear" w:color="auto" w:fill="auto"/>
                                    <w:spacing w:line="317" w:lineRule="exact"/>
                                    <w:jc w:val="both"/>
                                  </w:pP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>Art. 5° Ficam revogados os §§ 1° e 3° do art. 14, o § 5° do art. 15, o parágrafo único do art. 17</w:t>
                                  </w: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 xml:space="preserve"> e os art. 21 a 26 da Resolução CNSP n° 168, de 2007.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5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55696A">
                                  <w:pPr>
                                    <w:pStyle w:val="Bodytext20"/>
                                    <w:shd w:val="clear" w:color="auto" w:fill="auto"/>
                                    <w:spacing w:line="317" w:lineRule="exact"/>
                                    <w:jc w:val="both"/>
                                  </w:pPr>
                                  <w:r>
                                    <w:rPr>
                                      <w:rStyle w:val="Bodytext2TimesNewRoman11ptNotBold"/>
                                      <w:rFonts w:eastAsia="CordiaUPC"/>
                                    </w:rPr>
                                    <w:t>Art. 6° Esta Resolução entra em vigor na data de sua publicação.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124F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124F0" w:rsidRDefault="004124F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4F0" w:rsidRDefault="004124F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5.75pt;margin-top:0;width:768.25pt;height:533.4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pwsQ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57"/>
                        <w:gridCol w:w="5102"/>
                        <w:gridCol w:w="4906"/>
                      </w:tblGrid>
                      <w:tr w:rsidR="004124F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86"/>
                          <w:jc w:val="center"/>
                        </w:trPr>
                        <w:tc>
                          <w:tcPr>
                            <w:tcW w:w="5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after="180" w:line="317" w:lineRule="exact"/>
                              <w:jc w:val="both"/>
                            </w:pP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>Art. 3° O art. 2° da Resolução CNSP n° 168, de 2007, passa a vigorar acrescido do § 3° a seguir:</w:t>
                            </w:r>
                          </w:p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before="180" w:line="317" w:lineRule="exact"/>
                              <w:jc w:val="both"/>
                            </w:pP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>“§ 3° Equiparam-se à cedente a Entidade Fechada de Previdência Complementar (EFPC) e a operadora de plano privado de assistência à saúde que contratam operação de resseguro, sem prejuízo das atribuições de seu órgão regulador e fiscalizador, ficando as atr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 xml:space="preserve">ibuições da SUSEP, no tocante 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  <w:lang w:val="pt-BR" w:eastAsia="pt-BR" w:bidi="pt-BR"/>
                              </w:rPr>
                              <w:t xml:space="preserve">às 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 xml:space="preserve">EFPCs e 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  <w:lang w:val="pt-BR" w:eastAsia="pt-BR" w:bidi="pt-BR"/>
                              </w:rPr>
                              <w:t xml:space="preserve">às operadoras de planos privados de assistência à saúde, 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 xml:space="preserve">limitadas à supervisão dessas operações. 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  <w:lang w:val="pt-BR" w:eastAsia="pt-BR" w:bidi="pt-BR"/>
                              </w:rPr>
                              <w:t xml:space="preserve">(NR) 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5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86"/>
                          <w:jc w:val="center"/>
                        </w:trPr>
                        <w:tc>
                          <w:tcPr>
                            <w:tcW w:w="5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after="120" w:line="317" w:lineRule="exact"/>
                              <w:jc w:val="both"/>
                            </w:pP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>Art. 4° O art. 44 da Resolução CNSP n° 168, de 2007, passa a vigorar com a redação a seguir:</w:t>
                            </w:r>
                          </w:p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before="120" w:line="317" w:lineRule="exact"/>
                              <w:jc w:val="both"/>
                            </w:pP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 xml:space="preserve">“Art. 44. A SUSEP poderá, a qualquer tempo, realizar inspeções </w:t>
                            </w:r>
                            <w:r>
                              <w:rPr>
                                <w:rStyle w:val="Bodytext2TimesNewRoman11ptNotBoldItalic"/>
                                <w:rFonts w:eastAsia="CordiaUPC"/>
                              </w:rPr>
                              <w:t>in loco,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 xml:space="preserve"> bem como exigir das entidades abertas de previdência complementar, das sociedades seguradoras, dos resseguradores locais, das corretoras de resseguro e dos escritórios de representação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>, a prestação de informações e a apresentação de documentos que julgar necessários para o exercício de suas funções de controle e fiscalização. (NR) ”.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5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62"/>
                          <w:jc w:val="center"/>
                        </w:trPr>
                        <w:tc>
                          <w:tcPr>
                            <w:tcW w:w="5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line="317" w:lineRule="exact"/>
                              <w:jc w:val="both"/>
                            </w:pP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>Art. 5° Ficam revogados os §§ 1° e 3° do art. 14, o § 5° do art. 15, o parágrafo único do art. 17</w:t>
                            </w: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 xml:space="preserve"> e os art. 21 a 26 da Resolução CNSP n° 168, de 2007.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5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line="317" w:lineRule="exact"/>
                              <w:jc w:val="both"/>
                            </w:pPr>
                            <w:r>
                              <w:rPr>
                                <w:rStyle w:val="Bodytext2TimesNewRoman11ptNotBold"/>
                                <w:rFonts w:eastAsia="CordiaUPC"/>
                              </w:rPr>
                              <w:t>Art. 6° Esta Resolução entra em vigor na data de sua publicação.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124F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3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124F0" w:rsidRDefault="004124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124F0" w:rsidRDefault="004124F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360" w:lineRule="exact"/>
      </w:pPr>
    </w:p>
    <w:p w:rsidR="004124F0" w:rsidRDefault="004124F0">
      <w:pPr>
        <w:spacing w:line="534" w:lineRule="exact"/>
      </w:pPr>
    </w:p>
    <w:p w:rsidR="004124F0" w:rsidRDefault="004124F0">
      <w:pPr>
        <w:rPr>
          <w:sz w:val="2"/>
          <w:szCs w:val="2"/>
        </w:rPr>
        <w:sectPr w:rsidR="004124F0">
          <w:pgSz w:w="16840" w:h="11900" w:orient="landscape"/>
          <w:pgMar w:top="522" w:right="625" w:bottom="522" w:left="135" w:header="0" w:footer="3" w:gutter="0"/>
          <w:cols w:space="720"/>
          <w:noEndnote/>
          <w:docGrid w:linePitch="360"/>
        </w:sectPr>
      </w:pPr>
    </w:p>
    <w:p w:rsidR="004124F0" w:rsidRDefault="00744B32">
      <w:pPr>
        <w:pStyle w:val="Bodytext20"/>
        <w:shd w:val="clear" w:color="auto" w:fill="auto"/>
        <w:spacing w:line="300" w:lineRule="exact"/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295910" distR="63500" simplePos="0" relativeHeight="377487104" behindDoc="1" locked="0" layoutInCell="1" allowOverlap="1">
                <wp:simplePos x="0" y="0"/>
                <wp:positionH relativeFrom="margin">
                  <wp:posOffset>3663950</wp:posOffset>
                </wp:positionH>
                <wp:positionV relativeFrom="margin">
                  <wp:posOffset>-57785</wp:posOffset>
                </wp:positionV>
                <wp:extent cx="1965960" cy="190500"/>
                <wp:effectExtent l="4445" t="0" r="1270" b="3810"/>
                <wp:wrapSquare wrapText="lef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4F0" w:rsidRDefault="0055696A">
                            <w:pPr>
                              <w:pStyle w:val="Bodytext20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Bodytext2Exact0"/>
                                <w:b/>
                                <w:bCs/>
                              </w:rPr>
                              <w:t>SEI 15414.622511/2019-19 / pg.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88.5pt;margin-top:-4.55pt;width:154.8pt;height:15pt;z-index:-125829376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" filled="f" stroked="f">
                <v:textbox style="mso-fit-shape-to-text:t" inset="0,0,0,0">
                  <w:txbxContent>
                    <w:p w:rsidR="004124F0" w:rsidRDefault="0055696A">
                      <w:pPr>
                        <w:pStyle w:val="Bodytext2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Bodytext2Exact0"/>
                          <w:b/>
                          <w:bCs/>
                        </w:rPr>
                        <w:t>SEI 15414.622511/2019-19 / pg. 3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55696A">
        <w:rPr>
          <w:rStyle w:val="Bodytext21"/>
          <w:b/>
          <w:bCs/>
        </w:rPr>
        <w:t xml:space="preserve">ANEXO Quadro Comparativo - </w:t>
      </w:r>
      <w:r w:rsidR="0055696A">
        <w:rPr>
          <w:rStyle w:val="Bodytext21"/>
          <w:b/>
          <w:bCs/>
        </w:rPr>
        <w:t>Consulta Pública (0582925)</w:t>
      </w:r>
    </w:p>
    <w:sectPr w:rsidR="004124F0">
      <w:pgSz w:w="11900" w:h="16840"/>
      <w:pgMar w:top="16450" w:right="5083" w:bottom="125" w:left="1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6A" w:rsidRDefault="0055696A">
      <w:r>
        <w:separator/>
      </w:r>
    </w:p>
  </w:endnote>
  <w:endnote w:type="continuationSeparator" w:id="0">
    <w:p w:rsidR="0055696A" w:rsidRDefault="0055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6A" w:rsidRDefault="0055696A"/>
  </w:footnote>
  <w:footnote w:type="continuationSeparator" w:id="0">
    <w:p w:rsidR="0055696A" w:rsidRDefault="005569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0"/>
    <w:rsid w:val="004124F0"/>
    <w:rsid w:val="0055696A"/>
    <w:rsid w:val="007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6660F-F41D-4DEF-9555-9C77E248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Bodytext2Exact">
    <w:name w:val="Body text (2) Exact"/>
    <w:basedOn w:val="Fontepargpadro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Exact0">
    <w:name w:val="Body text (2) Exact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Fontepargpadro"/>
    <w:link w:val="Bodytext20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TimesNewRoman">
    <w:name w:val="Body text (2) + Times New Roman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t-PT" w:eastAsia="pt-PT" w:bidi="pt-PT"/>
    </w:rPr>
  </w:style>
  <w:style w:type="character" w:customStyle="1" w:styleId="Bodytext2TimesNewRoman11pt">
    <w:name w:val="Body text (2) + Times New Roman;1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PT" w:eastAsia="pt-PT" w:bidi="pt-PT"/>
    </w:rPr>
  </w:style>
  <w:style w:type="character" w:customStyle="1" w:styleId="Bodytext2TimesNewRoman11ptNotBoldItalic">
    <w:name w:val="Body text (2) + Times New Roman;11 pt;Not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PT" w:eastAsia="pt-PT" w:bidi="pt-PT"/>
    </w:rPr>
  </w:style>
  <w:style w:type="character" w:customStyle="1" w:styleId="Bodytext2TimesNewRoman11ptNotBold">
    <w:name w:val="Body text (2) + Times New Roman;11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PT" w:eastAsia="pt-PT" w:bidi="pt-PT"/>
    </w:rPr>
  </w:style>
  <w:style w:type="character" w:customStyle="1" w:styleId="Bodytext2TimesNewRoman11ptSpacing2pt">
    <w:name w:val="Body text (2) + Times New Roman;11 pt;Spacing 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t-PT" w:eastAsia="pt-PT" w:bidi="pt-PT"/>
    </w:rPr>
  </w:style>
  <w:style w:type="character" w:customStyle="1" w:styleId="Bodytext21">
    <w:name w:val="Body text (2)"/>
    <w:basedOn w:val="Bodytext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t-PT" w:eastAsia="pt-PT" w:bidi="pt-PT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 Consulta Pública 2_Resseguro EPCs e Op de Saúde</vt:lpstr>
    </vt:vector>
  </TitlesOfParts>
  <Company>Hewlett-Packard Company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Consulta Pública 2_Resseguro EPCs e Op de Saúde</dc:title>
  <dc:subject/>
  <dc:creator>Wagner Fernandes de Assis</dc:creator>
  <cp:keywords/>
  <cp:lastModifiedBy>Wagner Fernandes de Assis</cp:lastModifiedBy>
  <cp:revision>1</cp:revision>
  <dcterms:created xsi:type="dcterms:W3CDTF">2019-11-07T20:34:00Z</dcterms:created>
  <dcterms:modified xsi:type="dcterms:W3CDTF">2019-11-07T20:35:00Z</dcterms:modified>
</cp:coreProperties>
</file>