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CF7AD" w14:textId="77777777" w:rsidR="00760BE5" w:rsidRPr="00304575" w:rsidRDefault="00760BE5" w:rsidP="00286B99">
      <w:pPr>
        <w:rPr>
          <w:b/>
          <w:bCs/>
          <w:sz w:val="24"/>
          <w:szCs w:val="24"/>
        </w:rPr>
      </w:pPr>
    </w:p>
    <w:tbl>
      <w:tblPr>
        <w:tblStyle w:val="Tabelacomgrade"/>
        <w:tblW w:w="15881" w:type="dxa"/>
        <w:tblInd w:w="-998" w:type="dxa"/>
        <w:tblLayout w:type="fixed"/>
        <w:tblLook w:val="04A0" w:firstRow="1" w:lastRow="0" w:firstColumn="1" w:lastColumn="0" w:noHBand="0" w:noVBand="1"/>
      </w:tblPr>
      <w:tblGrid>
        <w:gridCol w:w="5104"/>
        <w:gridCol w:w="5245"/>
        <w:gridCol w:w="5532"/>
      </w:tblGrid>
      <w:tr w:rsidR="00760BE5" w:rsidRPr="0056460E" w14:paraId="09B9DA85" w14:textId="77777777" w:rsidTr="007632B3">
        <w:trPr>
          <w:trHeight w:hRule="exact" w:val="340"/>
        </w:trPr>
        <w:tc>
          <w:tcPr>
            <w:tcW w:w="15881" w:type="dxa"/>
            <w:gridSpan w:val="3"/>
          </w:tcPr>
          <w:p w14:paraId="27C686DC" w14:textId="4456ACA3" w:rsidR="00760BE5" w:rsidRPr="0056460E" w:rsidRDefault="00760BE5" w:rsidP="00BF0910">
            <w:pPr>
              <w:autoSpaceDE w:val="0"/>
              <w:autoSpaceDN w:val="0"/>
              <w:adjustRightInd w:val="0"/>
              <w:jc w:val="center"/>
              <w:rPr>
                <w:rFonts w:asciiTheme="minorHAnsi" w:eastAsiaTheme="minorHAnsi" w:hAnsiTheme="minorHAnsi" w:cstheme="minorHAnsi"/>
                <w:b/>
                <w:bCs/>
                <w:sz w:val="22"/>
                <w:szCs w:val="22"/>
                <w:lang w:eastAsia="en-US"/>
              </w:rPr>
            </w:pPr>
            <w:r w:rsidRPr="0056460E">
              <w:rPr>
                <w:rFonts w:asciiTheme="minorHAnsi" w:eastAsiaTheme="minorHAnsi" w:hAnsiTheme="minorHAnsi" w:cstheme="minorHAnsi"/>
                <w:b/>
                <w:bCs/>
                <w:sz w:val="22"/>
                <w:szCs w:val="22"/>
                <w:lang w:eastAsia="en-US"/>
              </w:rPr>
              <w:t xml:space="preserve">QUADRO PADRONIZADO PARA APRESENTAÇÃO DE SUGESTÕES E </w:t>
            </w:r>
            <w:r w:rsidR="00BB508D">
              <w:rPr>
                <w:rFonts w:asciiTheme="minorHAnsi" w:eastAsiaTheme="minorHAnsi" w:hAnsiTheme="minorHAnsi" w:cstheme="minorHAnsi"/>
                <w:b/>
                <w:bCs/>
                <w:sz w:val="22"/>
                <w:szCs w:val="22"/>
                <w:lang w:eastAsia="en-US"/>
              </w:rPr>
              <w:t>COMENTÁRIOS</w:t>
            </w:r>
          </w:p>
          <w:p w14:paraId="063065B1" w14:textId="77777777" w:rsidR="00760BE5" w:rsidRPr="0056460E" w:rsidRDefault="00760BE5" w:rsidP="00BF0910">
            <w:pPr>
              <w:jc w:val="center"/>
              <w:rPr>
                <w:rFonts w:asciiTheme="minorHAnsi" w:hAnsiTheme="minorHAnsi"/>
                <w:b/>
                <w:bCs/>
                <w:sz w:val="22"/>
                <w:szCs w:val="22"/>
              </w:rPr>
            </w:pPr>
          </w:p>
        </w:tc>
      </w:tr>
      <w:tr w:rsidR="00760BE5" w:rsidRPr="0056460E" w14:paraId="508F4D7C" w14:textId="77777777" w:rsidTr="007632B3">
        <w:trPr>
          <w:trHeight w:hRule="exact" w:val="810"/>
        </w:trPr>
        <w:tc>
          <w:tcPr>
            <w:tcW w:w="15881" w:type="dxa"/>
            <w:gridSpan w:val="3"/>
            <w:vAlign w:val="center"/>
          </w:tcPr>
          <w:p w14:paraId="4EEC0BD8" w14:textId="5AF139B0" w:rsidR="00760BE5" w:rsidRPr="008976A1" w:rsidRDefault="00760BE5" w:rsidP="008976A1">
            <w:pPr>
              <w:autoSpaceDE w:val="0"/>
              <w:autoSpaceDN w:val="0"/>
              <w:adjustRightInd w:val="0"/>
              <w:rPr>
                <w:rFonts w:asciiTheme="minorHAnsi" w:eastAsiaTheme="minorHAnsi" w:hAnsiTheme="minorHAnsi" w:cstheme="minorHAnsi"/>
                <w:sz w:val="22"/>
                <w:szCs w:val="22"/>
                <w:lang w:eastAsia="en-US"/>
              </w:rPr>
            </w:pPr>
            <w:r w:rsidRPr="0056460E">
              <w:rPr>
                <w:rFonts w:asciiTheme="minorHAnsi" w:eastAsiaTheme="minorHAnsi" w:hAnsiTheme="minorHAnsi" w:cstheme="minorHAnsi"/>
                <w:sz w:val="22"/>
                <w:szCs w:val="22"/>
                <w:lang w:eastAsia="en-US"/>
              </w:rPr>
              <w:t>Remetente:</w:t>
            </w:r>
            <w:r w:rsidR="00087B64" w:rsidRPr="0056460E">
              <w:rPr>
                <w:rFonts w:asciiTheme="minorHAnsi" w:eastAsiaTheme="minorHAnsi" w:hAnsiTheme="minorHAnsi" w:cstheme="minorHAnsi"/>
                <w:sz w:val="22"/>
                <w:szCs w:val="22"/>
                <w:lang w:eastAsia="en-US"/>
              </w:rPr>
              <w:t xml:space="preserve"> </w:t>
            </w:r>
          </w:p>
        </w:tc>
      </w:tr>
      <w:tr w:rsidR="00F53CE3" w:rsidRPr="0056460E" w14:paraId="27DA446B" w14:textId="77777777" w:rsidTr="007632B3">
        <w:trPr>
          <w:trHeight w:hRule="exact" w:val="284"/>
        </w:trPr>
        <w:tc>
          <w:tcPr>
            <w:tcW w:w="5104" w:type="dxa"/>
          </w:tcPr>
          <w:p w14:paraId="249C7D18" w14:textId="77777777" w:rsidR="00760BE5" w:rsidRPr="0056460E" w:rsidRDefault="00760BE5" w:rsidP="00BF0910">
            <w:pPr>
              <w:jc w:val="center"/>
              <w:rPr>
                <w:rFonts w:asciiTheme="minorHAnsi" w:hAnsiTheme="minorHAnsi"/>
                <w:b/>
                <w:bCs/>
                <w:sz w:val="22"/>
                <w:szCs w:val="22"/>
              </w:rPr>
            </w:pPr>
            <w:r w:rsidRPr="0056460E">
              <w:rPr>
                <w:rFonts w:asciiTheme="minorHAnsi" w:hAnsiTheme="minorHAnsi"/>
                <w:b/>
                <w:bCs/>
                <w:sz w:val="22"/>
                <w:szCs w:val="22"/>
              </w:rPr>
              <w:t>MINUTA</w:t>
            </w:r>
          </w:p>
        </w:tc>
        <w:tc>
          <w:tcPr>
            <w:tcW w:w="5245" w:type="dxa"/>
          </w:tcPr>
          <w:p w14:paraId="2277BC8A" w14:textId="5E917E84" w:rsidR="00760BE5" w:rsidRPr="0056460E" w:rsidRDefault="00005C6E" w:rsidP="00BF0910">
            <w:pPr>
              <w:jc w:val="center"/>
              <w:rPr>
                <w:rFonts w:asciiTheme="minorHAnsi" w:hAnsiTheme="minorHAnsi"/>
                <w:b/>
                <w:bCs/>
                <w:sz w:val="22"/>
                <w:szCs w:val="22"/>
              </w:rPr>
            </w:pPr>
            <w:r>
              <w:rPr>
                <w:rFonts w:asciiTheme="minorHAnsi" w:hAnsiTheme="minorHAnsi"/>
                <w:b/>
                <w:bCs/>
                <w:sz w:val="22"/>
                <w:szCs w:val="22"/>
              </w:rPr>
              <w:t>SUGESTÕES</w:t>
            </w:r>
          </w:p>
        </w:tc>
        <w:tc>
          <w:tcPr>
            <w:tcW w:w="5532" w:type="dxa"/>
          </w:tcPr>
          <w:p w14:paraId="6688C429" w14:textId="5849C198" w:rsidR="00760BE5" w:rsidRPr="0056460E" w:rsidRDefault="00005C6E" w:rsidP="00AD6D7B">
            <w:pPr>
              <w:jc w:val="center"/>
              <w:rPr>
                <w:rFonts w:asciiTheme="minorHAnsi" w:hAnsiTheme="minorHAnsi"/>
                <w:b/>
                <w:bCs/>
                <w:sz w:val="22"/>
                <w:szCs w:val="22"/>
              </w:rPr>
            </w:pPr>
            <w:r>
              <w:rPr>
                <w:rFonts w:asciiTheme="minorHAnsi" w:hAnsiTheme="minorHAnsi"/>
                <w:b/>
                <w:bCs/>
                <w:sz w:val="22"/>
                <w:szCs w:val="22"/>
              </w:rPr>
              <w:t>JUSTIFICATIVA</w:t>
            </w:r>
            <w:r w:rsidR="00D84C8F">
              <w:rPr>
                <w:rFonts w:asciiTheme="minorHAnsi" w:hAnsiTheme="minorHAnsi"/>
                <w:b/>
                <w:bCs/>
                <w:sz w:val="22"/>
                <w:szCs w:val="22"/>
              </w:rPr>
              <w:t>S</w:t>
            </w:r>
          </w:p>
        </w:tc>
      </w:tr>
      <w:tr w:rsidR="007632B3" w:rsidRPr="0056460E" w14:paraId="65AAC922" w14:textId="77777777" w:rsidTr="007632B3">
        <w:trPr>
          <w:trHeight w:val="862"/>
        </w:trPr>
        <w:tc>
          <w:tcPr>
            <w:tcW w:w="5104" w:type="dxa"/>
          </w:tcPr>
          <w:p w14:paraId="7B7F8972" w14:textId="5C6108A9" w:rsidR="007632B3" w:rsidRPr="0056460E" w:rsidRDefault="007632B3" w:rsidP="007632B3">
            <w:pPr>
              <w:jc w:val="center"/>
              <w:rPr>
                <w:rFonts w:asciiTheme="minorHAnsi" w:hAnsiTheme="minorHAnsi"/>
                <w:b/>
                <w:bCs/>
                <w:sz w:val="22"/>
                <w:szCs w:val="22"/>
              </w:rPr>
            </w:pPr>
            <w:r w:rsidRPr="0056460E">
              <w:rPr>
                <w:rFonts w:asciiTheme="minorHAnsi" w:hAnsiTheme="minorHAnsi"/>
                <w:b/>
                <w:bCs/>
                <w:sz w:val="22"/>
                <w:szCs w:val="22"/>
              </w:rPr>
              <w:t>RESOLUÇÃO CNSP N.º___, DE ____.</w:t>
            </w:r>
          </w:p>
        </w:tc>
        <w:tc>
          <w:tcPr>
            <w:tcW w:w="5245" w:type="dxa"/>
          </w:tcPr>
          <w:p w14:paraId="66C8CCAD" w14:textId="66B47708" w:rsidR="007632B3" w:rsidRPr="0056460E" w:rsidRDefault="007632B3" w:rsidP="007632B3">
            <w:pPr>
              <w:jc w:val="center"/>
              <w:rPr>
                <w:rFonts w:asciiTheme="minorHAnsi" w:hAnsiTheme="minorHAnsi"/>
                <w:b/>
                <w:bCs/>
                <w:sz w:val="22"/>
                <w:szCs w:val="22"/>
              </w:rPr>
            </w:pPr>
            <w:r w:rsidRPr="0056460E">
              <w:rPr>
                <w:rFonts w:asciiTheme="minorHAnsi" w:hAnsiTheme="minorHAnsi"/>
                <w:b/>
                <w:bCs/>
                <w:sz w:val="22"/>
                <w:szCs w:val="22"/>
              </w:rPr>
              <w:t>RESOLUÇÃO CNSP N.º___, DE ____.</w:t>
            </w:r>
          </w:p>
        </w:tc>
        <w:tc>
          <w:tcPr>
            <w:tcW w:w="5532" w:type="dxa"/>
          </w:tcPr>
          <w:p w14:paraId="40610933" w14:textId="77777777" w:rsidR="007632B3" w:rsidRPr="0056460E" w:rsidRDefault="007632B3" w:rsidP="007632B3">
            <w:pPr>
              <w:jc w:val="center"/>
              <w:rPr>
                <w:rFonts w:asciiTheme="minorHAnsi" w:hAnsiTheme="minorHAnsi"/>
                <w:b/>
                <w:bCs/>
                <w:sz w:val="22"/>
                <w:szCs w:val="22"/>
              </w:rPr>
            </w:pPr>
          </w:p>
        </w:tc>
      </w:tr>
      <w:tr w:rsidR="00005C6E" w:rsidRPr="0056460E" w14:paraId="27198BC7" w14:textId="77777777" w:rsidTr="007632B3">
        <w:trPr>
          <w:trHeight w:val="862"/>
        </w:trPr>
        <w:tc>
          <w:tcPr>
            <w:tcW w:w="5104" w:type="dxa"/>
          </w:tcPr>
          <w:p w14:paraId="283E4DCC" w14:textId="0E646A67" w:rsidR="00005C6E" w:rsidRPr="0056460E" w:rsidRDefault="00005C6E" w:rsidP="00005C6E">
            <w:pPr>
              <w:jc w:val="both"/>
              <w:rPr>
                <w:rFonts w:asciiTheme="minorHAnsi" w:hAnsiTheme="minorHAnsi"/>
                <w:b/>
                <w:bCs/>
                <w:sz w:val="22"/>
                <w:szCs w:val="22"/>
              </w:rPr>
            </w:pPr>
            <w:r>
              <w:rPr>
                <w:rFonts w:ascii="Calibri" w:hAnsi="Calibri" w:cs="Calibri"/>
                <w:color w:val="000000"/>
                <w:sz w:val="22"/>
                <w:szCs w:val="22"/>
              </w:rPr>
              <w:t>Altera a Resolução CNSP nº 321, de 15 de julho de 2015.</w:t>
            </w:r>
          </w:p>
        </w:tc>
        <w:tc>
          <w:tcPr>
            <w:tcW w:w="5245" w:type="dxa"/>
          </w:tcPr>
          <w:p w14:paraId="793B4A32" w14:textId="77777777" w:rsidR="00005C6E" w:rsidRPr="0056460E" w:rsidRDefault="00005C6E" w:rsidP="007632B3">
            <w:pPr>
              <w:jc w:val="center"/>
              <w:rPr>
                <w:rFonts w:asciiTheme="minorHAnsi" w:hAnsiTheme="minorHAnsi"/>
                <w:b/>
                <w:bCs/>
                <w:sz w:val="22"/>
                <w:szCs w:val="22"/>
              </w:rPr>
            </w:pPr>
          </w:p>
        </w:tc>
        <w:tc>
          <w:tcPr>
            <w:tcW w:w="5532" w:type="dxa"/>
          </w:tcPr>
          <w:p w14:paraId="729A5E1E" w14:textId="77777777" w:rsidR="00005C6E" w:rsidRPr="0056460E" w:rsidRDefault="00005C6E" w:rsidP="007632B3">
            <w:pPr>
              <w:jc w:val="center"/>
              <w:rPr>
                <w:rFonts w:asciiTheme="minorHAnsi" w:hAnsiTheme="minorHAnsi"/>
                <w:b/>
                <w:bCs/>
                <w:sz w:val="22"/>
                <w:szCs w:val="22"/>
              </w:rPr>
            </w:pPr>
          </w:p>
        </w:tc>
      </w:tr>
      <w:tr w:rsidR="00005C6E" w:rsidRPr="0056460E" w14:paraId="13D2A6FC" w14:textId="77777777" w:rsidTr="007632B3">
        <w:trPr>
          <w:trHeight w:val="862"/>
        </w:trPr>
        <w:tc>
          <w:tcPr>
            <w:tcW w:w="5104" w:type="dxa"/>
          </w:tcPr>
          <w:p w14:paraId="69747F30" w14:textId="77777777" w:rsidR="00005C6E" w:rsidRDefault="00005C6E" w:rsidP="00005C6E">
            <w:pPr>
              <w:jc w:val="both"/>
              <w:rPr>
                <w:rFonts w:ascii="Calibri" w:hAnsi="Calibri" w:cs="Calibri"/>
                <w:color w:val="000000"/>
                <w:sz w:val="22"/>
                <w:szCs w:val="22"/>
              </w:rPr>
            </w:pPr>
            <w:r>
              <w:rPr>
                <w:rFonts w:ascii="Calibri" w:hAnsi="Calibri" w:cs="Calibri"/>
                <w:color w:val="000000"/>
                <w:sz w:val="22"/>
                <w:szCs w:val="22"/>
              </w:rPr>
              <w:t>A </w:t>
            </w:r>
            <w:r>
              <w:rPr>
                <w:rStyle w:val="Forte"/>
                <w:rFonts w:ascii="Calibri" w:hAnsi="Calibri" w:cs="Calibri"/>
                <w:color w:val="000000"/>
                <w:sz w:val="22"/>
                <w:szCs w:val="22"/>
              </w:rPr>
              <w:t>SUPERINTENDÊNCIA DE SEGUROS PRIVADOS - Susep</w:t>
            </w:r>
            <w:r>
              <w:rPr>
                <w:rFonts w:ascii="Calibri" w:hAnsi="Calibri" w:cs="Calibri"/>
                <w:color w:val="000000"/>
                <w:sz w:val="22"/>
                <w:szCs w:val="22"/>
              </w:rPr>
              <w:t> , no uso da atribuição que lhe confere  o art. 34, inciso XI, do Decreto nº 60.459, de 13 de março de 1967, torna público que o </w:t>
            </w:r>
            <w:r>
              <w:rPr>
                <w:rStyle w:val="Forte"/>
                <w:rFonts w:ascii="Calibri" w:hAnsi="Calibri" w:cs="Calibri"/>
                <w:color w:val="000000"/>
                <w:sz w:val="22"/>
                <w:szCs w:val="22"/>
              </w:rPr>
              <w:t xml:space="preserve">CONSELHO NACIONAL DE SEGUROS PRIVADOS - </w:t>
            </w:r>
            <w:proofErr w:type="spellStart"/>
            <w:r>
              <w:rPr>
                <w:rStyle w:val="Forte"/>
                <w:rFonts w:ascii="Calibri" w:hAnsi="Calibri" w:cs="Calibri"/>
                <w:color w:val="000000"/>
                <w:sz w:val="22"/>
                <w:szCs w:val="22"/>
              </w:rPr>
              <w:t>CNSP</w:t>
            </w:r>
            <w:r>
              <w:rPr>
                <w:rFonts w:ascii="Calibri" w:hAnsi="Calibri" w:cs="Calibri"/>
                <w:color w:val="000000"/>
                <w:sz w:val="22"/>
                <w:szCs w:val="22"/>
              </w:rPr>
              <w:t>,em</w:t>
            </w:r>
            <w:proofErr w:type="spellEnd"/>
            <w:r>
              <w:rPr>
                <w:rFonts w:ascii="Calibri" w:hAnsi="Calibri" w:cs="Calibri"/>
                <w:color w:val="000000"/>
                <w:sz w:val="22"/>
                <w:szCs w:val="22"/>
              </w:rPr>
              <w:t xml:space="preserve"> sessão ordinária realizada em </w:t>
            </w:r>
            <w:proofErr w:type="spellStart"/>
            <w:r>
              <w:rPr>
                <w:rFonts w:ascii="Calibri" w:hAnsi="Calibri" w:cs="Calibri"/>
                <w:color w:val="000000"/>
                <w:sz w:val="22"/>
                <w:szCs w:val="22"/>
              </w:rPr>
              <w:t>xx</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xxxxx</w:t>
            </w:r>
            <w:proofErr w:type="spellEnd"/>
            <w:r>
              <w:rPr>
                <w:rFonts w:ascii="Calibri" w:hAnsi="Calibri" w:cs="Calibri"/>
                <w:color w:val="000000"/>
                <w:sz w:val="22"/>
                <w:szCs w:val="22"/>
              </w:rPr>
              <w:t xml:space="preserve"> de 2020, e com fulcro no disposto no art. 32, inciso II, do Decreto-Lei nº 73, de 21 de novembro de 1966, nos </w:t>
            </w:r>
            <w:proofErr w:type="spellStart"/>
            <w:r>
              <w:rPr>
                <w:rFonts w:ascii="Calibri" w:hAnsi="Calibri" w:cs="Calibri"/>
                <w:color w:val="000000"/>
                <w:sz w:val="22"/>
                <w:szCs w:val="22"/>
              </w:rPr>
              <w:t>arts</w:t>
            </w:r>
            <w:proofErr w:type="spellEnd"/>
            <w:r>
              <w:rPr>
                <w:rFonts w:ascii="Calibri" w:hAnsi="Calibri" w:cs="Calibri"/>
                <w:color w:val="000000"/>
                <w:sz w:val="22"/>
                <w:szCs w:val="22"/>
              </w:rPr>
              <w:t>. 3º, inciso II, 37 e 74 da Lei Complementar nº 109, de 29 de maio de 2001, no art. 3º, § 1º, do Decreto-Lei nº 261, de 28 de fevereiro de 1967, e no art. 5º da Lei Complementar nº 126, de 15 de janeiro de 2007, e considerando o que consta do Processo Susep nº 15414.609059/2020-25, resolve:</w:t>
            </w:r>
          </w:p>
          <w:p w14:paraId="40E18468" w14:textId="36C214BF" w:rsidR="00FD557D" w:rsidRPr="0056460E" w:rsidRDefault="00FD557D" w:rsidP="00005C6E">
            <w:pPr>
              <w:jc w:val="both"/>
              <w:rPr>
                <w:rFonts w:asciiTheme="minorHAnsi" w:hAnsiTheme="minorHAnsi"/>
                <w:b/>
                <w:bCs/>
                <w:sz w:val="22"/>
                <w:szCs w:val="22"/>
              </w:rPr>
            </w:pPr>
          </w:p>
        </w:tc>
        <w:tc>
          <w:tcPr>
            <w:tcW w:w="5245" w:type="dxa"/>
          </w:tcPr>
          <w:p w14:paraId="26A16712" w14:textId="77777777" w:rsidR="00005C6E" w:rsidRPr="0056460E" w:rsidRDefault="00005C6E" w:rsidP="007632B3">
            <w:pPr>
              <w:jc w:val="center"/>
              <w:rPr>
                <w:rFonts w:asciiTheme="minorHAnsi" w:hAnsiTheme="minorHAnsi"/>
                <w:b/>
                <w:bCs/>
                <w:sz w:val="22"/>
                <w:szCs w:val="22"/>
              </w:rPr>
            </w:pPr>
          </w:p>
        </w:tc>
        <w:tc>
          <w:tcPr>
            <w:tcW w:w="5532" w:type="dxa"/>
          </w:tcPr>
          <w:p w14:paraId="18FBED7E" w14:textId="77777777" w:rsidR="00005C6E" w:rsidRPr="0056460E" w:rsidRDefault="00005C6E" w:rsidP="007632B3">
            <w:pPr>
              <w:jc w:val="center"/>
              <w:rPr>
                <w:rFonts w:asciiTheme="minorHAnsi" w:hAnsiTheme="minorHAnsi"/>
                <w:b/>
                <w:bCs/>
                <w:sz w:val="22"/>
                <w:szCs w:val="22"/>
              </w:rPr>
            </w:pPr>
          </w:p>
        </w:tc>
      </w:tr>
      <w:tr w:rsidR="00005C6E" w:rsidRPr="0056460E" w14:paraId="6D1092FC" w14:textId="77777777" w:rsidTr="007632B3">
        <w:trPr>
          <w:trHeight w:val="862"/>
        </w:trPr>
        <w:tc>
          <w:tcPr>
            <w:tcW w:w="5104" w:type="dxa"/>
          </w:tcPr>
          <w:p w14:paraId="787EB627" w14:textId="1A50230D" w:rsidR="00005C6E" w:rsidRPr="0056460E" w:rsidRDefault="00005C6E" w:rsidP="001E1E9D">
            <w:pPr>
              <w:jc w:val="both"/>
              <w:rPr>
                <w:rFonts w:asciiTheme="minorHAnsi" w:hAnsiTheme="minorHAnsi"/>
                <w:b/>
                <w:bCs/>
                <w:sz w:val="22"/>
                <w:szCs w:val="22"/>
              </w:rPr>
            </w:pPr>
            <w:r>
              <w:rPr>
                <w:rFonts w:ascii="Calibri" w:hAnsi="Calibri" w:cs="Calibri"/>
                <w:color w:val="000000"/>
                <w:sz w:val="22"/>
                <w:szCs w:val="22"/>
              </w:rPr>
              <w:t>Art. 1º A Resolução CNSP nº 321, de 15 de dezembro de 2015, passa a vigorar com as seguintes alterações:</w:t>
            </w:r>
          </w:p>
        </w:tc>
        <w:tc>
          <w:tcPr>
            <w:tcW w:w="5245" w:type="dxa"/>
          </w:tcPr>
          <w:p w14:paraId="301EEC55" w14:textId="77777777" w:rsidR="00005C6E" w:rsidRPr="0056460E" w:rsidRDefault="00005C6E" w:rsidP="007632B3">
            <w:pPr>
              <w:jc w:val="center"/>
              <w:rPr>
                <w:rFonts w:asciiTheme="minorHAnsi" w:hAnsiTheme="minorHAnsi"/>
                <w:b/>
                <w:bCs/>
                <w:sz w:val="22"/>
                <w:szCs w:val="22"/>
              </w:rPr>
            </w:pPr>
          </w:p>
        </w:tc>
        <w:tc>
          <w:tcPr>
            <w:tcW w:w="5532" w:type="dxa"/>
          </w:tcPr>
          <w:p w14:paraId="2D5D3D97" w14:textId="77777777" w:rsidR="00005C6E" w:rsidRPr="0056460E" w:rsidRDefault="00005C6E" w:rsidP="007632B3">
            <w:pPr>
              <w:jc w:val="center"/>
              <w:rPr>
                <w:rFonts w:asciiTheme="minorHAnsi" w:hAnsiTheme="minorHAnsi"/>
                <w:b/>
                <w:bCs/>
                <w:sz w:val="22"/>
                <w:szCs w:val="22"/>
              </w:rPr>
            </w:pPr>
          </w:p>
        </w:tc>
      </w:tr>
      <w:tr w:rsidR="00005C6E" w:rsidRPr="0056460E" w14:paraId="2F902A23" w14:textId="77777777" w:rsidTr="007632B3">
        <w:trPr>
          <w:trHeight w:val="862"/>
        </w:trPr>
        <w:tc>
          <w:tcPr>
            <w:tcW w:w="5104" w:type="dxa"/>
          </w:tcPr>
          <w:p w14:paraId="7AB74BB9" w14:textId="04868817" w:rsidR="00005C6E" w:rsidRDefault="00005C6E" w:rsidP="00005C6E">
            <w:pPr>
              <w:jc w:val="both"/>
              <w:rPr>
                <w:rFonts w:ascii="Calibri" w:hAnsi="Calibri" w:cs="Calibri"/>
                <w:color w:val="000000"/>
                <w:sz w:val="22"/>
                <w:szCs w:val="22"/>
              </w:rPr>
            </w:pPr>
            <w:r>
              <w:rPr>
                <w:rFonts w:ascii="Calibri" w:hAnsi="Calibri" w:cs="Calibri"/>
                <w:color w:val="000000"/>
                <w:sz w:val="22"/>
                <w:szCs w:val="22"/>
              </w:rPr>
              <w:t>“Art. 64  </w:t>
            </w:r>
            <w:r w:rsidR="00FF26D3">
              <w:rPr>
                <w:rFonts w:ascii="Calibri" w:hAnsi="Calibri" w:cs="Calibri"/>
                <w:color w:val="000000"/>
                <w:sz w:val="22"/>
                <w:szCs w:val="22"/>
              </w:rPr>
              <w:t>...............................</w:t>
            </w:r>
            <w:r>
              <w:rPr>
                <w:rFonts w:ascii="Calibri" w:hAnsi="Calibri" w:cs="Calibri"/>
                <w:color w:val="000000"/>
                <w:sz w:val="22"/>
                <w:szCs w:val="22"/>
              </w:rPr>
              <w:t>..........................................</w:t>
            </w:r>
          </w:p>
          <w:p w14:paraId="64E1049F" w14:textId="7AE9B048" w:rsidR="00005C6E" w:rsidRDefault="00005C6E" w:rsidP="00005C6E">
            <w:pPr>
              <w:jc w:val="both"/>
              <w:rPr>
                <w:rFonts w:ascii="Calibri" w:hAnsi="Calibri" w:cs="Calibri"/>
                <w:color w:val="000000"/>
                <w:sz w:val="22"/>
                <w:szCs w:val="22"/>
              </w:rPr>
            </w:pPr>
            <w:r>
              <w:rPr>
                <w:rFonts w:ascii="Calibri" w:hAnsi="Calibri" w:cs="Calibri"/>
                <w:color w:val="000000"/>
                <w:sz w:val="22"/>
                <w:szCs w:val="22"/>
              </w:rPr>
              <w:t>........................................................................................</w:t>
            </w:r>
          </w:p>
          <w:p w14:paraId="277B30E3" w14:textId="56EE449F" w:rsidR="00005C6E" w:rsidRDefault="00005C6E" w:rsidP="00005C6E">
            <w:pPr>
              <w:jc w:val="both"/>
              <w:rPr>
                <w:rFonts w:ascii="Calibri" w:hAnsi="Calibri" w:cs="Calibri"/>
                <w:color w:val="000000"/>
                <w:sz w:val="22"/>
                <w:szCs w:val="22"/>
              </w:rPr>
            </w:pPr>
            <w:r>
              <w:rPr>
                <w:rFonts w:ascii="Calibri" w:hAnsi="Calibri" w:cs="Calibri"/>
                <w:color w:val="000000"/>
                <w:sz w:val="22"/>
                <w:szCs w:val="22"/>
              </w:rPr>
              <w:t>II - ...................................................................................</w:t>
            </w:r>
          </w:p>
          <w:p w14:paraId="3C0F483C" w14:textId="0DCB63ED" w:rsidR="00005C6E" w:rsidRDefault="00005C6E" w:rsidP="00005C6E">
            <w:pPr>
              <w:jc w:val="both"/>
              <w:rPr>
                <w:rFonts w:ascii="Calibri" w:hAnsi="Calibri" w:cs="Calibri"/>
                <w:color w:val="000000"/>
                <w:sz w:val="22"/>
                <w:szCs w:val="22"/>
              </w:rPr>
            </w:pPr>
            <w:r>
              <w:rPr>
                <w:rFonts w:ascii="Calibri" w:hAnsi="Calibri" w:cs="Calibri"/>
                <w:color w:val="000000"/>
                <w:sz w:val="22"/>
                <w:szCs w:val="22"/>
              </w:rPr>
              <w:t>........................................................................................</w:t>
            </w:r>
          </w:p>
          <w:p w14:paraId="5A62681B" w14:textId="77777777" w:rsidR="00005C6E" w:rsidRDefault="00005C6E" w:rsidP="00005C6E">
            <w:pPr>
              <w:jc w:val="both"/>
              <w:rPr>
                <w:rFonts w:ascii="Calibri" w:hAnsi="Calibri" w:cs="Calibri"/>
                <w:color w:val="000000"/>
                <w:sz w:val="22"/>
                <w:szCs w:val="22"/>
              </w:rPr>
            </w:pPr>
          </w:p>
          <w:p w14:paraId="3153027C" w14:textId="77777777" w:rsidR="00005C6E" w:rsidRDefault="00005C6E" w:rsidP="00005C6E">
            <w:pPr>
              <w:jc w:val="both"/>
              <w:rPr>
                <w:rFonts w:ascii="Calibri" w:hAnsi="Calibri" w:cs="Calibri"/>
                <w:color w:val="000000"/>
                <w:sz w:val="22"/>
                <w:szCs w:val="22"/>
              </w:rPr>
            </w:pPr>
            <w:r>
              <w:rPr>
                <w:rFonts w:ascii="Calibri" w:hAnsi="Calibri" w:cs="Calibri"/>
                <w:color w:val="000000"/>
                <w:sz w:val="22"/>
                <w:szCs w:val="22"/>
              </w:rPr>
              <w:t xml:space="preserve">c) acréscimo do superávit de fluxos de entradas e saídas decorrentes de prêmios/contribuições não registrados, considerando operações de resseguro ou de retrocessão relacionadas, apurado no TAP, líquido dos efeitos tributários e limitado ao efeito no capital </w:t>
            </w:r>
            <w:r>
              <w:rPr>
                <w:rFonts w:ascii="Calibri" w:hAnsi="Calibri" w:cs="Calibri"/>
                <w:color w:val="000000"/>
                <w:sz w:val="22"/>
                <w:szCs w:val="22"/>
              </w:rPr>
              <w:lastRenderedPageBreak/>
              <w:t>mínimo requerido da parcela de risco de mercado relativo aos fluxos de prêmios e contribuições não registradas.</w:t>
            </w:r>
          </w:p>
          <w:p w14:paraId="0C40B9CA" w14:textId="77777777" w:rsidR="00005C6E" w:rsidRDefault="00005C6E" w:rsidP="00005C6E">
            <w:pPr>
              <w:jc w:val="both"/>
              <w:rPr>
                <w:rFonts w:ascii="Calibri" w:hAnsi="Calibri" w:cs="Calibri"/>
                <w:color w:val="000000"/>
                <w:sz w:val="22"/>
                <w:szCs w:val="22"/>
              </w:rPr>
            </w:pPr>
          </w:p>
          <w:p w14:paraId="58931CF9" w14:textId="77777777" w:rsidR="00005C6E" w:rsidRDefault="00005C6E" w:rsidP="00005C6E">
            <w:pPr>
              <w:jc w:val="both"/>
              <w:rPr>
                <w:rFonts w:ascii="Calibri" w:hAnsi="Calibri" w:cs="Calibri"/>
                <w:color w:val="000000"/>
                <w:sz w:val="22"/>
                <w:szCs w:val="22"/>
              </w:rPr>
            </w:pPr>
            <w:r>
              <w:rPr>
                <w:rFonts w:ascii="Calibri" w:hAnsi="Calibri" w:cs="Calibri"/>
                <w:color w:val="000000"/>
                <w:sz w:val="22"/>
                <w:szCs w:val="22"/>
              </w:rPr>
              <w:t>d) acréscimo do superávit entre as provisões constituídas que são passíveis de gerar PCC - líquidas dos custos de aquisição diferidos diretamente relacionados à PPNG - e o fluxo realista de entradas e saídas decorrentes de prêmios/contribuições registradas, líquido dos efeitos tributários e limitado ao valor do capital de risco de subscrição;</w:t>
            </w:r>
          </w:p>
          <w:p w14:paraId="1ECB52B4" w14:textId="1478E841" w:rsidR="00005C6E" w:rsidRDefault="00005C6E" w:rsidP="00005C6E">
            <w:pPr>
              <w:jc w:val="both"/>
              <w:rPr>
                <w:rFonts w:ascii="Calibri" w:hAnsi="Calibri" w:cs="Calibri"/>
                <w:color w:val="000000"/>
                <w:sz w:val="22"/>
                <w:szCs w:val="22"/>
              </w:rPr>
            </w:pPr>
            <w:r>
              <w:rPr>
                <w:rFonts w:ascii="Calibri" w:hAnsi="Calibri" w:cs="Calibri"/>
                <w:color w:val="000000"/>
                <w:sz w:val="22"/>
                <w:szCs w:val="22"/>
              </w:rPr>
              <w:t>........................................................................................</w:t>
            </w:r>
          </w:p>
          <w:p w14:paraId="2A243607" w14:textId="77777777" w:rsidR="00005C6E" w:rsidRDefault="00005C6E" w:rsidP="00005C6E">
            <w:pPr>
              <w:jc w:val="both"/>
              <w:rPr>
                <w:rFonts w:ascii="Calibri" w:hAnsi="Calibri" w:cs="Calibri"/>
                <w:color w:val="000000"/>
                <w:sz w:val="22"/>
                <w:szCs w:val="22"/>
              </w:rPr>
            </w:pPr>
          </w:p>
          <w:p w14:paraId="7930797C" w14:textId="77777777" w:rsidR="00005C6E" w:rsidRDefault="00005C6E" w:rsidP="00005C6E">
            <w:pPr>
              <w:jc w:val="both"/>
              <w:rPr>
                <w:rFonts w:ascii="Calibri" w:hAnsi="Calibri" w:cs="Calibri"/>
                <w:color w:val="000000"/>
                <w:sz w:val="22"/>
                <w:szCs w:val="22"/>
              </w:rPr>
            </w:pPr>
            <w:r>
              <w:rPr>
                <w:rFonts w:ascii="Calibri" w:hAnsi="Calibri" w:cs="Calibri"/>
                <w:color w:val="000000"/>
                <w:sz w:val="22"/>
                <w:szCs w:val="22"/>
              </w:rPr>
              <w:t>f) acréscimo do superávit entre as provisões exatas constituídas e o fluxo realista das sociedades de capitalização, líquido dos efeitos tributários e limitado ao valor do capital de risco de subscrição, sendo calculado pela soma das seguintes parcelas:</w:t>
            </w:r>
          </w:p>
          <w:p w14:paraId="53B18FCB" w14:textId="457AD637" w:rsidR="00005C6E" w:rsidRDefault="00005C6E" w:rsidP="00005C6E">
            <w:pPr>
              <w:jc w:val="both"/>
              <w:rPr>
                <w:rFonts w:ascii="Calibri" w:hAnsi="Calibri" w:cs="Calibri"/>
                <w:color w:val="000000"/>
                <w:sz w:val="22"/>
                <w:szCs w:val="22"/>
              </w:rPr>
            </w:pPr>
            <w:r>
              <w:rPr>
                <w:rFonts w:ascii="Calibri" w:hAnsi="Calibri" w:cs="Calibri"/>
                <w:color w:val="000000"/>
                <w:sz w:val="22"/>
                <w:szCs w:val="22"/>
              </w:rPr>
              <w:t>........................................................................................</w:t>
            </w:r>
          </w:p>
          <w:p w14:paraId="324CF687" w14:textId="77777777" w:rsidR="00005C6E" w:rsidRDefault="00005C6E" w:rsidP="00005C6E">
            <w:pPr>
              <w:jc w:val="both"/>
              <w:rPr>
                <w:rFonts w:ascii="Calibri" w:hAnsi="Calibri" w:cs="Calibri"/>
                <w:color w:val="000000"/>
                <w:sz w:val="22"/>
                <w:szCs w:val="22"/>
              </w:rPr>
            </w:pPr>
          </w:p>
          <w:p w14:paraId="5DE6416D" w14:textId="4D9A767A" w:rsidR="00005C6E" w:rsidRDefault="00005C6E" w:rsidP="00005C6E">
            <w:pPr>
              <w:jc w:val="both"/>
              <w:rPr>
                <w:rFonts w:ascii="Calibri" w:hAnsi="Calibri" w:cs="Calibri"/>
                <w:color w:val="000000"/>
                <w:sz w:val="22"/>
                <w:szCs w:val="22"/>
              </w:rPr>
            </w:pPr>
            <w:r>
              <w:rPr>
                <w:rFonts w:ascii="Calibri" w:hAnsi="Calibri" w:cs="Calibri"/>
                <w:color w:val="000000"/>
                <w:sz w:val="22"/>
                <w:szCs w:val="22"/>
              </w:rPr>
              <w:t>1º Considera-se ativo total ajustado, para fins do disposto na alínea “g” do inciso I, o saldo do ativo total líquido dos ajustes elencados nas alíneas “a”, “b”, “c”, “d”, “e”, “f”, “h”, “i”, “j”, “k”, “l”, “m” e “n” do inciso I.</w:t>
            </w:r>
          </w:p>
          <w:p w14:paraId="6568D4E7" w14:textId="41AA8345" w:rsidR="00005C6E" w:rsidRDefault="00005C6E" w:rsidP="00005C6E">
            <w:pPr>
              <w:jc w:val="both"/>
              <w:rPr>
                <w:rFonts w:ascii="Calibri" w:hAnsi="Calibri" w:cs="Calibri"/>
                <w:color w:val="000000"/>
                <w:sz w:val="22"/>
                <w:szCs w:val="22"/>
              </w:rPr>
            </w:pPr>
            <w:r>
              <w:rPr>
                <w:rFonts w:ascii="Calibri" w:hAnsi="Calibri" w:cs="Calibri"/>
                <w:color w:val="000000"/>
                <w:sz w:val="22"/>
                <w:szCs w:val="22"/>
              </w:rPr>
              <w:t>........................................................................................</w:t>
            </w:r>
          </w:p>
          <w:p w14:paraId="39C01391" w14:textId="77777777" w:rsidR="00005C6E" w:rsidRDefault="00005C6E" w:rsidP="00005C6E">
            <w:pPr>
              <w:jc w:val="both"/>
              <w:rPr>
                <w:rFonts w:ascii="Calibri" w:hAnsi="Calibri" w:cs="Calibri"/>
                <w:color w:val="000000"/>
                <w:sz w:val="22"/>
                <w:szCs w:val="22"/>
              </w:rPr>
            </w:pPr>
          </w:p>
          <w:p w14:paraId="01BC87C0" w14:textId="77777777" w:rsidR="00005C6E" w:rsidRDefault="00005C6E" w:rsidP="00005C6E">
            <w:pPr>
              <w:jc w:val="both"/>
              <w:rPr>
                <w:rFonts w:ascii="Calibri" w:hAnsi="Calibri" w:cs="Calibri"/>
                <w:color w:val="000000"/>
                <w:sz w:val="22"/>
                <w:szCs w:val="22"/>
              </w:rPr>
            </w:pPr>
            <w:r>
              <w:rPr>
                <w:rFonts w:ascii="Calibri" w:hAnsi="Calibri" w:cs="Calibri"/>
                <w:color w:val="000000"/>
                <w:sz w:val="22"/>
                <w:szCs w:val="22"/>
              </w:rPr>
              <w:t>§ 5º Os ajustes constantes do inciso I deste artigo deverão ser atualizados mensalmente, enquanto que os ajustes do inciso II deverão ser atualizados:</w:t>
            </w:r>
          </w:p>
          <w:p w14:paraId="6A8713BF" w14:textId="77777777" w:rsidR="00005C6E" w:rsidRDefault="00005C6E" w:rsidP="00005C6E">
            <w:pPr>
              <w:jc w:val="both"/>
              <w:rPr>
                <w:rFonts w:ascii="Calibri" w:hAnsi="Calibri" w:cs="Calibri"/>
                <w:color w:val="000000"/>
                <w:sz w:val="22"/>
                <w:szCs w:val="22"/>
              </w:rPr>
            </w:pPr>
          </w:p>
          <w:p w14:paraId="38B07E75" w14:textId="77777777" w:rsidR="00005C6E" w:rsidRDefault="00005C6E" w:rsidP="00005C6E">
            <w:pPr>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semestralmente</w:t>
            </w:r>
            <w:proofErr w:type="gramEnd"/>
            <w:r>
              <w:rPr>
                <w:rFonts w:ascii="Calibri" w:hAnsi="Calibri" w:cs="Calibri"/>
                <w:color w:val="000000"/>
                <w:sz w:val="22"/>
                <w:szCs w:val="22"/>
              </w:rPr>
              <w:t>;</w:t>
            </w:r>
          </w:p>
          <w:p w14:paraId="5B0D68EB" w14:textId="77777777" w:rsidR="00005C6E" w:rsidRDefault="00005C6E" w:rsidP="00005C6E">
            <w:pPr>
              <w:jc w:val="both"/>
              <w:rPr>
                <w:rFonts w:ascii="Calibri" w:hAnsi="Calibri" w:cs="Calibri"/>
                <w:color w:val="000000"/>
                <w:sz w:val="22"/>
                <w:szCs w:val="22"/>
              </w:rPr>
            </w:pPr>
          </w:p>
          <w:p w14:paraId="65F020B3" w14:textId="77777777" w:rsidR="00005C6E" w:rsidRDefault="00005C6E" w:rsidP="00005C6E">
            <w:pPr>
              <w:jc w:val="both"/>
              <w:rPr>
                <w:rFonts w:ascii="Calibri" w:hAnsi="Calibri" w:cs="Calibri"/>
                <w:color w:val="000000"/>
                <w:sz w:val="22"/>
                <w:szCs w:val="22"/>
              </w:rPr>
            </w:pPr>
            <w:r>
              <w:rPr>
                <w:rFonts w:ascii="Calibri" w:hAnsi="Calibri" w:cs="Calibri"/>
                <w:color w:val="000000"/>
                <w:sz w:val="22"/>
                <w:szCs w:val="22"/>
              </w:rPr>
              <w:t xml:space="preserve">II - </w:t>
            </w:r>
            <w:proofErr w:type="gramStart"/>
            <w:r>
              <w:rPr>
                <w:rFonts w:ascii="Calibri" w:hAnsi="Calibri" w:cs="Calibri"/>
                <w:color w:val="000000"/>
                <w:sz w:val="22"/>
                <w:szCs w:val="22"/>
              </w:rPr>
              <w:t>trimestralmente</w:t>
            </w:r>
            <w:proofErr w:type="gramEnd"/>
            <w:r>
              <w:rPr>
                <w:rFonts w:ascii="Calibri" w:hAnsi="Calibri" w:cs="Calibri"/>
                <w:color w:val="000000"/>
                <w:sz w:val="22"/>
                <w:szCs w:val="22"/>
              </w:rPr>
              <w:t>, para as supervisionadas que estiverem cumprindo Plano de Regularização de Solvência ou sob o regime de Direção Fiscal ou, ainda, quando a Susep identificar a necessidade de um monitoramento mais frequente de sua solvência; </w:t>
            </w:r>
          </w:p>
          <w:p w14:paraId="3E7CF368" w14:textId="77777777" w:rsidR="00082127" w:rsidRDefault="00082127" w:rsidP="00005C6E">
            <w:pPr>
              <w:jc w:val="both"/>
              <w:rPr>
                <w:rFonts w:ascii="Calibri" w:hAnsi="Calibri" w:cs="Calibri"/>
                <w:color w:val="000000"/>
                <w:sz w:val="22"/>
                <w:szCs w:val="22"/>
              </w:rPr>
            </w:pPr>
          </w:p>
          <w:p w14:paraId="48236DD6" w14:textId="77777777" w:rsidR="00005C6E" w:rsidRDefault="00005C6E" w:rsidP="00005C6E">
            <w:pPr>
              <w:jc w:val="both"/>
              <w:rPr>
                <w:rFonts w:ascii="Calibri" w:hAnsi="Calibri" w:cs="Calibri"/>
                <w:color w:val="000000"/>
                <w:sz w:val="22"/>
                <w:szCs w:val="22"/>
              </w:rPr>
            </w:pPr>
            <w:r>
              <w:rPr>
                <w:rFonts w:ascii="Calibri" w:hAnsi="Calibri" w:cs="Calibri"/>
                <w:color w:val="000000"/>
                <w:sz w:val="22"/>
                <w:szCs w:val="22"/>
              </w:rPr>
              <w:t xml:space="preserve">III - com periodicidade inferior a semestral, por decisão da supervisionada devidamente comunicada à Susep, se forem realizados na mesma periodicidade o TAP, o </w:t>
            </w:r>
            <w:r>
              <w:rPr>
                <w:rFonts w:ascii="Calibri" w:hAnsi="Calibri" w:cs="Calibri"/>
                <w:color w:val="000000"/>
                <w:sz w:val="22"/>
                <w:szCs w:val="22"/>
              </w:rPr>
              <w:lastRenderedPageBreak/>
              <w:t>cálculo do capital risco de mercado e a atualização do estudo sobre a redução ao valor recuperável dos ativos de resseguro e de retrocessão; e</w:t>
            </w:r>
          </w:p>
          <w:p w14:paraId="18BB7513" w14:textId="77777777" w:rsidR="00005C6E" w:rsidRDefault="00005C6E" w:rsidP="00005C6E">
            <w:pPr>
              <w:jc w:val="both"/>
              <w:rPr>
                <w:rFonts w:ascii="Calibri" w:hAnsi="Calibri" w:cs="Calibri"/>
                <w:color w:val="000000"/>
                <w:sz w:val="22"/>
                <w:szCs w:val="22"/>
              </w:rPr>
            </w:pPr>
          </w:p>
          <w:p w14:paraId="1239796C" w14:textId="77777777" w:rsidR="00005C6E" w:rsidRDefault="00005C6E" w:rsidP="00005C6E">
            <w:pPr>
              <w:jc w:val="both"/>
              <w:rPr>
                <w:rFonts w:ascii="Calibri" w:hAnsi="Calibri" w:cs="Calibri"/>
                <w:color w:val="000000"/>
                <w:sz w:val="22"/>
                <w:szCs w:val="22"/>
              </w:rPr>
            </w:pPr>
            <w:r>
              <w:rPr>
                <w:rFonts w:ascii="Calibri" w:hAnsi="Calibri" w:cs="Calibri"/>
                <w:color w:val="000000"/>
                <w:sz w:val="22"/>
                <w:szCs w:val="22"/>
              </w:rPr>
              <w:t xml:space="preserve">IV - </w:t>
            </w:r>
            <w:proofErr w:type="gramStart"/>
            <w:r>
              <w:rPr>
                <w:rFonts w:ascii="Calibri" w:hAnsi="Calibri" w:cs="Calibri"/>
                <w:color w:val="000000"/>
                <w:sz w:val="22"/>
                <w:szCs w:val="22"/>
              </w:rPr>
              <w:t>quando</w:t>
            </w:r>
            <w:proofErr w:type="gramEnd"/>
            <w:r>
              <w:rPr>
                <w:rFonts w:ascii="Calibri" w:hAnsi="Calibri" w:cs="Calibri"/>
                <w:color w:val="000000"/>
                <w:sz w:val="22"/>
                <w:szCs w:val="22"/>
              </w:rPr>
              <w:t xml:space="preserve"> houver o registro contábil relacionado à transferência de carteira, cisão, fusão ou incorporação.</w:t>
            </w:r>
          </w:p>
          <w:p w14:paraId="41F3CD12" w14:textId="1426FF1D" w:rsidR="00005C6E" w:rsidRDefault="00005C6E" w:rsidP="00005C6E">
            <w:pPr>
              <w:jc w:val="both"/>
              <w:rPr>
                <w:rFonts w:ascii="Calibri" w:hAnsi="Calibri" w:cs="Calibri"/>
                <w:color w:val="000000"/>
                <w:sz w:val="22"/>
                <w:szCs w:val="22"/>
              </w:rPr>
            </w:pPr>
            <w:r>
              <w:rPr>
                <w:rFonts w:ascii="Calibri" w:hAnsi="Calibri" w:cs="Calibri"/>
                <w:color w:val="000000"/>
                <w:sz w:val="22"/>
                <w:szCs w:val="22"/>
              </w:rPr>
              <w:t>............................................................................. “(NR)</w:t>
            </w:r>
          </w:p>
          <w:p w14:paraId="410F0527" w14:textId="77777777" w:rsidR="00005C6E" w:rsidRDefault="00005C6E" w:rsidP="00005C6E">
            <w:pPr>
              <w:pStyle w:val="textojustificado"/>
              <w:spacing w:before="120" w:beforeAutospacing="0" w:after="120" w:afterAutospacing="0"/>
              <w:ind w:left="2400" w:right="120"/>
              <w:jc w:val="both"/>
              <w:rPr>
                <w:rFonts w:ascii="Calibri" w:hAnsi="Calibri" w:cs="Calibri"/>
                <w:color w:val="000000"/>
                <w:sz w:val="22"/>
                <w:szCs w:val="22"/>
              </w:rPr>
            </w:pPr>
            <w:r>
              <w:rPr>
                <w:rFonts w:ascii="Calibri" w:hAnsi="Calibri" w:cs="Calibri"/>
                <w:color w:val="000000"/>
                <w:sz w:val="22"/>
                <w:szCs w:val="22"/>
              </w:rPr>
              <w:t> </w:t>
            </w:r>
          </w:p>
          <w:p w14:paraId="04315FA0" w14:textId="77777777" w:rsidR="00005C6E" w:rsidRPr="0056460E" w:rsidRDefault="00005C6E" w:rsidP="007632B3">
            <w:pPr>
              <w:jc w:val="center"/>
              <w:rPr>
                <w:rFonts w:asciiTheme="minorHAnsi" w:hAnsiTheme="minorHAnsi"/>
                <w:b/>
                <w:bCs/>
                <w:sz w:val="22"/>
                <w:szCs w:val="22"/>
              </w:rPr>
            </w:pPr>
          </w:p>
        </w:tc>
        <w:tc>
          <w:tcPr>
            <w:tcW w:w="5245" w:type="dxa"/>
          </w:tcPr>
          <w:p w14:paraId="752E40DB" w14:textId="77777777" w:rsidR="00005C6E" w:rsidRPr="0056460E" w:rsidRDefault="00005C6E" w:rsidP="007632B3">
            <w:pPr>
              <w:jc w:val="center"/>
              <w:rPr>
                <w:rFonts w:asciiTheme="minorHAnsi" w:hAnsiTheme="minorHAnsi"/>
                <w:b/>
                <w:bCs/>
                <w:sz w:val="22"/>
                <w:szCs w:val="22"/>
              </w:rPr>
            </w:pPr>
          </w:p>
        </w:tc>
        <w:tc>
          <w:tcPr>
            <w:tcW w:w="5532" w:type="dxa"/>
          </w:tcPr>
          <w:p w14:paraId="0A7B198F" w14:textId="77777777" w:rsidR="00005C6E" w:rsidRPr="0056460E" w:rsidRDefault="00005C6E" w:rsidP="007632B3">
            <w:pPr>
              <w:jc w:val="center"/>
              <w:rPr>
                <w:rFonts w:asciiTheme="minorHAnsi" w:hAnsiTheme="minorHAnsi"/>
                <w:b/>
                <w:bCs/>
                <w:sz w:val="22"/>
                <w:szCs w:val="22"/>
              </w:rPr>
            </w:pPr>
          </w:p>
        </w:tc>
      </w:tr>
      <w:tr w:rsidR="00005C6E" w:rsidRPr="0056460E" w14:paraId="570B3FB3" w14:textId="77777777" w:rsidTr="007632B3">
        <w:trPr>
          <w:trHeight w:val="862"/>
        </w:trPr>
        <w:tc>
          <w:tcPr>
            <w:tcW w:w="5104" w:type="dxa"/>
          </w:tcPr>
          <w:p w14:paraId="7CD3F673" w14:textId="77777777" w:rsidR="00005C6E" w:rsidRDefault="00005C6E" w:rsidP="00005C6E">
            <w:pPr>
              <w:jc w:val="both"/>
              <w:rPr>
                <w:rFonts w:ascii="Calibri" w:hAnsi="Calibri" w:cs="Calibri"/>
                <w:color w:val="000000"/>
                <w:sz w:val="22"/>
                <w:szCs w:val="22"/>
              </w:rPr>
            </w:pPr>
            <w:r w:rsidRPr="00005C6E">
              <w:rPr>
                <w:rFonts w:ascii="Calibri" w:hAnsi="Calibri" w:cs="Calibri"/>
                <w:color w:val="000000"/>
                <w:sz w:val="22"/>
                <w:szCs w:val="22"/>
              </w:rPr>
              <w:lastRenderedPageBreak/>
              <w:t>“Art. 64-B.  Para apuração do requisito de qualidade de cobertura do CMR das supervisionadas, ficam criados 3 (três) níveis de PLA, compostos da seguinte forma:</w:t>
            </w:r>
          </w:p>
          <w:p w14:paraId="68F95CD4" w14:textId="77777777" w:rsidR="00005C6E" w:rsidRPr="00005C6E" w:rsidRDefault="00005C6E" w:rsidP="00005C6E">
            <w:pPr>
              <w:jc w:val="both"/>
              <w:rPr>
                <w:rFonts w:ascii="Calibri" w:hAnsi="Calibri" w:cs="Calibri"/>
                <w:color w:val="000000"/>
                <w:sz w:val="22"/>
                <w:szCs w:val="22"/>
              </w:rPr>
            </w:pPr>
          </w:p>
          <w:p w14:paraId="6AA2975B" w14:textId="77777777" w:rsidR="00005C6E" w:rsidRDefault="00005C6E" w:rsidP="00005C6E">
            <w:pPr>
              <w:jc w:val="both"/>
              <w:rPr>
                <w:rFonts w:ascii="Calibri" w:hAnsi="Calibri" w:cs="Calibri"/>
                <w:color w:val="000000"/>
                <w:sz w:val="22"/>
                <w:szCs w:val="22"/>
              </w:rPr>
            </w:pPr>
            <w:r w:rsidRPr="00005C6E">
              <w:rPr>
                <w:rFonts w:ascii="Calibri" w:hAnsi="Calibri" w:cs="Calibri"/>
                <w:color w:val="000000"/>
                <w:sz w:val="22"/>
                <w:szCs w:val="22"/>
              </w:rPr>
              <w:t>I - PLA de nível 1: valor do patrimônio líquido contábil ou do patrimônio social contábil subtraído das deduções contábeis, previstas no inciso I do art. 64 desta Resolução, e acrescido dos valores decorrentes dos ajustes associados à variação dos valores econômicos, positivos ou negativos, constantes das alíneas "a" e "b" do inciso II do art. 64 desta Resolução;</w:t>
            </w:r>
          </w:p>
          <w:p w14:paraId="416B2E4C" w14:textId="77777777" w:rsidR="00005C6E" w:rsidRPr="00005C6E" w:rsidRDefault="00005C6E" w:rsidP="00005C6E">
            <w:pPr>
              <w:jc w:val="both"/>
              <w:rPr>
                <w:rFonts w:ascii="Calibri" w:hAnsi="Calibri" w:cs="Calibri"/>
                <w:color w:val="000000"/>
                <w:sz w:val="22"/>
                <w:szCs w:val="22"/>
              </w:rPr>
            </w:pPr>
          </w:p>
          <w:p w14:paraId="7A956861" w14:textId="77777777" w:rsidR="00005C6E" w:rsidRDefault="00005C6E" w:rsidP="00005C6E">
            <w:pPr>
              <w:jc w:val="both"/>
              <w:rPr>
                <w:rFonts w:ascii="Calibri" w:hAnsi="Calibri" w:cs="Calibri"/>
                <w:color w:val="000000"/>
                <w:sz w:val="22"/>
                <w:szCs w:val="22"/>
              </w:rPr>
            </w:pPr>
            <w:r w:rsidRPr="00005C6E">
              <w:rPr>
                <w:rFonts w:ascii="Calibri" w:hAnsi="Calibri" w:cs="Calibri"/>
                <w:color w:val="000000"/>
                <w:sz w:val="22"/>
                <w:szCs w:val="22"/>
              </w:rPr>
              <w:t>II - PLA de nível 2: soma dos valores decorrentes dos ajustes associados à variação dos valores econômicos previstos nas alíneas "c", "d", "e" e "f" do inciso II do art. 64 desta Resolução; e</w:t>
            </w:r>
          </w:p>
          <w:p w14:paraId="47DBE80F" w14:textId="77777777" w:rsidR="00005C6E" w:rsidRPr="00005C6E" w:rsidRDefault="00005C6E" w:rsidP="00005C6E">
            <w:pPr>
              <w:jc w:val="both"/>
              <w:rPr>
                <w:rFonts w:ascii="Calibri" w:hAnsi="Calibri" w:cs="Calibri"/>
                <w:color w:val="000000"/>
                <w:sz w:val="22"/>
                <w:szCs w:val="22"/>
              </w:rPr>
            </w:pPr>
          </w:p>
          <w:p w14:paraId="50D247C6" w14:textId="77777777" w:rsidR="00005C6E" w:rsidRPr="00005C6E" w:rsidRDefault="00005C6E" w:rsidP="00005C6E">
            <w:pPr>
              <w:jc w:val="both"/>
              <w:rPr>
                <w:rFonts w:ascii="Calibri" w:hAnsi="Calibri" w:cs="Calibri"/>
                <w:color w:val="000000"/>
                <w:sz w:val="22"/>
                <w:szCs w:val="22"/>
              </w:rPr>
            </w:pPr>
            <w:r w:rsidRPr="00005C6E">
              <w:rPr>
                <w:rFonts w:ascii="Calibri" w:hAnsi="Calibri" w:cs="Calibri"/>
                <w:color w:val="000000"/>
                <w:sz w:val="22"/>
                <w:szCs w:val="22"/>
              </w:rPr>
              <w:t>III - PLA de nível 3: soma dos acréscimos contábeis no PLA, definidos no inciso I do art. 64 desta Resolução, e dos valores das diferenças entre os saldos contábeis e as respectivas deduções previstas nas alíneas "e" e "g" daquele inciso.</w:t>
            </w:r>
          </w:p>
          <w:p w14:paraId="2E185E8F" w14:textId="77777777" w:rsidR="00005C6E" w:rsidRPr="00005C6E" w:rsidRDefault="00005C6E" w:rsidP="00005C6E">
            <w:pPr>
              <w:jc w:val="both"/>
              <w:rPr>
                <w:rFonts w:ascii="Calibri" w:hAnsi="Calibri" w:cs="Calibri"/>
                <w:color w:val="000000"/>
                <w:sz w:val="22"/>
                <w:szCs w:val="22"/>
              </w:rPr>
            </w:pPr>
          </w:p>
          <w:p w14:paraId="77F04F70" w14:textId="77777777" w:rsidR="00005C6E" w:rsidRPr="00005C6E" w:rsidRDefault="00005C6E" w:rsidP="00005C6E">
            <w:pPr>
              <w:jc w:val="both"/>
              <w:rPr>
                <w:rFonts w:ascii="Calibri" w:hAnsi="Calibri" w:cs="Calibri"/>
                <w:color w:val="000000"/>
                <w:sz w:val="22"/>
                <w:szCs w:val="22"/>
              </w:rPr>
            </w:pPr>
            <w:r w:rsidRPr="00005C6E">
              <w:rPr>
                <w:rFonts w:ascii="Calibri" w:hAnsi="Calibri" w:cs="Calibri"/>
                <w:color w:val="000000"/>
                <w:sz w:val="22"/>
                <w:szCs w:val="22"/>
              </w:rPr>
              <w:t>Parágrafo único. As deduções dos ativos constantes das alíneas "e" e "g" do inciso I do art. 64 desta Resolução serão realizadas pelo valor integral dos seus respectivos saldos contábeis para fins de apuração do PLA de nível 1, desconsiderando os limites previstos naquelas alíneas.” (NR)</w:t>
            </w:r>
          </w:p>
          <w:p w14:paraId="5924846E" w14:textId="77777777" w:rsidR="00005C6E" w:rsidRPr="00005C6E" w:rsidRDefault="00005C6E" w:rsidP="00005C6E">
            <w:pPr>
              <w:jc w:val="both"/>
              <w:rPr>
                <w:rFonts w:ascii="Calibri" w:hAnsi="Calibri" w:cs="Calibri"/>
                <w:color w:val="000000"/>
                <w:sz w:val="22"/>
                <w:szCs w:val="22"/>
              </w:rPr>
            </w:pPr>
          </w:p>
          <w:p w14:paraId="780CA02B" w14:textId="77777777" w:rsidR="00005C6E" w:rsidRPr="00005C6E" w:rsidRDefault="00005C6E" w:rsidP="00005C6E">
            <w:pPr>
              <w:jc w:val="both"/>
              <w:rPr>
                <w:rFonts w:ascii="Calibri" w:hAnsi="Calibri" w:cs="Calibri"/>
                <w:color w:val="000000"/>
                <w:sz w:val="22"/>
                <w:szCs w:val="22"/>
              </w:rPr>
            </w:pPr>
          </w:p>
        </w:tc>
        <w:tc>
          <w:tcPr>
            <w:tcW w:w="5245" w:type="dxa"/>
          </w:tcPr>
          <w:p w14:paraId="17698743" w14:textId="77777777" w:rsidR="00005C6E" w:rsidRPr="00005C6E" w:rsidRDefault="00005C6E" w:rsidP="00005C6E">
            <w:pPr>
              <w:jc w:val="both"/>
              <w:rPr>
                <w:rFonts w:ascii="Calibri" w:hAnsi="Calibri" w:cs="Calibri"/>
                <w:color w:val="000000"/>
                <w:sz w:val="22"/>
                <w:szCs w:val="22"/>
              </w:rPr>
            </w:pPr>
          </w:p>
        </w:tc>
        <w:tc>
          <w:tcPr>
            <w:tcW w:w="5532" w:type="dxa"/>
          </w:tcPr>
          <w:p w14:paraId="4676CFB5" w14:textId="77777777" w:rsidR="00005C6E" w:rsidRPr="00005C6E" w:rsidRDefault="00005C6E" w:rsidP="00005C6E">
            <w:pPr>
              <w:jc w:val="both"/>
              <w:rPr>
                <w:rFonts w:ascii="Calibri" w:hAnsi="Calibri" w:cs="Calibri"/>
                <w:color w:val="000000"/>
                <w:sz w:val="22"/>
                <w:szCs w:val="22"/>
              </w:rPr>
            </w:pPr>
          </w:p>
        </w:tc>
      </w:tr>
      <w:tr w:rsidR="00005C6E" w:rsidRPr="0056460E" w14:paraId="20A6732A" w14:textId="77777777" w:rsidTr="007632B3">
        <w:trPr>
          <w:trHeight w:val="862"/>
        </w:trPr>
        <w:tc>
          <w:tcPr>
            <w:tcW w:w="5104" w:type="dxa"/>
          </w:tcPr>
          <w:p w14:paraId="053FB0DE" w14:textId="77777777" w:rsidR="00005C6E" w:rsidRPr="00005C6E" w:rsidRDefault="00005C6E" w:rsidP="00005C6E">
            <w:pPr>
              <w:jc w:val="both"/>
              <w:rPr>
                <w:rFonts w:ascii="Calibri" w:hAnsi="Calibri" w:cs="Calibri"/>
                <w:color w:val="000000"/>
                <w:sz w:val="22"/>
                <w:szCs w:val="22"/>
              </w:rPr>
            </w:pPr>
            <w:r w:rsidRPr="00005C6E">
              <w:rPr>
                <w:rFonts w:ascii="Calibri" w:hAnsi="Calibri" w:cs="Calibri"/>
                <w:color w:val="000000"/>
                <w:sz w:val="22"/>
                <w:szCs w:val="22"/>
              </w:rPr>
              <w:lastRenderedPageBreak/>
              <w:t>"Art. 64-C.  As supervisionadas cumprirão o requisito de qualidade de cobertura do CMR, quando os seguintes limites forem observados:</w:t>
            </w:r>
          </w:p>
          <w:p w14:paraId="7770E2E0" w14:textId="77777777" w:rsidR="00005C6E" w:rsidRPr="00005C6E" w:rsidRDefault="00005C6E" w:rsidP="00005C6E">
            <w:pPr>
              <w:jc w:val="both"/>
              <w:rPr>
                <w:rFonts w:ascii="Calibri" w:hAnsi="Calibri" w:cs="Calibri"/>
                <w:color w:val="000000"/>
                <w:sz w:val="22"/>
                <w:szCs w:val="22"/>
              </w:rPr>
            </w:pPr>
          </w:p>
          <w:p w14:paraId="40BCAE5A" w14:textId="77777777" w:rsidR="00005C6E" w:rsidRPr="00005C6E" w:rsidRDefault="00005C6E" w:rsidP="00005C6E">
            <w:pPr>
              <w:jc w:val="both"/>
              <w:rPr>
                <w:rFonts w:ascii="Calibri" w:hAnsi="Calibri" w:cs="Calibri"/>
                <w:color w:val="000000"/>
                <w:sz w:val="22"/>
                <w:szCs w:val="22"/>
              </w:rPr>
            </w:pPr>
            <w:r w:rsidRPr="00005C6E">
              <w:rPr>
                <w:rFonts w:ascii="Calibri" w:hAnsi="Calibri" w:cs="Calibri"/>
                <w:color w:val="000000"/>
                <w:sz w:val="22"/>
                <w:szCs w:val="22"/>
              </w:rPr>
              <w:t xml:space="preserve">I - </w:t>
            </w:r>
            <w:proofErr w:type="gramStart"/>
            <w:r w:rsidRPr="00005C6E">
              <w:rPr>
                <w:rFonts w:ascii="Calibri" w:hAnsi="Calibri" w:cs="Calibri"/>
                <w:color w:val="000000"/>
                <w:sz w:val="22"/>
                <w:szCs w:val="22"/>
              </w:rPr>
              <w:t>no</w:t>
            </w:r>
            <w:proofErr w:type="gramEnd"/>
            <w:r w:rsidRPr="00005C6E">
              <w:rPr>
                <w:rFonts w:ascii="Calibri" w:hAnsi="Calibri" w:cs="Calibri"/>
                <w:color w:val="000000"/>
                <w:sz w:val="22"/>
                <w:szCs w:val="22"/>
              </w:rPr>
              <w:t xml:space="preserve"> mínimo 50% do CMR são cobertos por PLA de nível 1;</w:t>
            </w:r>
          </w:p>
          <w:p w14:paraId="217979A8" w14:textId="77777777" w:rsidR="00005C6E" w:rsidRPr="00005C6E" w:rsidRDefault="00005C6E" w:rsidP="00005C6E">
            <w:pPr>
              <w:jc w:val="both"/>
              <w:rPr>
                <w:rFonts w:ascii="Calibri" w:hAnsi="Calibri" w:cs="Calibri"/>
                <w:color w:val="000000"/>
                <w:sz w:val="22"/>
                <w:szCs w:val="22"/>
              </w:rPr>
            </w:pPr>
          </w:p>
          <w:p w14:paraId="4C3CD608" w14:textId="77777777" w:rsidR="00005C6E" w:rsidRPr="00005C6E" w:rsidRDefault="00005C6E" w:rsidP="00005C6E">
            <w:pPr>
              <w:jc w:val="both"/>
              <w:rPr>
                <w:rFonts w:ascii="Calibri" w:hAnsi="Calibri" w:cs="Calibri"/>
                <w:color w:val="000000"/>
                <w:sz w:val="22"/>
                <w:szCs w:val="22"/>
              </w:rPr>
            </w:pPr>
            <w:r w:rsidRPr="00005C6E">
              <w:rPr>
                <w:rFonts w:ascii="Calibri" w:hAnsi="Calibri" w:cs="Calibri"/>
                <w:color w:val="000000"/>
                <w:sz w:val="22"/>
                <w:szCs w:val="22"/>
              </w:rPr>
              <w:t xml:space="preserve">II - </w:t>
            </w:r>
            <w:proofErr w:type="gramStart"/>
            <w:r w:rsidRPr="00005C6E">
              <w:rPr>
                <w:rFonts w:ascii="Calibri" w:hAnsi="Calibri" w:cs="Calibri"/>
                <w:color w:val="000000"/>
                <w:sz w:val="22"/>
                <w:szCs w:val="22"/>
              </w:rPr>
              <w:t>no</w:t>
            </w:r>
            <w:proofErr w:type="gramEnd"/>
            <w:r w:rsidRPr="00005C6E">
              <w:rPr>
                <w:rFonts w:ascii="Calibri" w:hAnsi="Calibri" w:cs="Calibri"/>
                <w:color w:val="000000"/>
                <w:sz w:val="22"/>
                <w:szCs w:val="22"/>
              </w:rPr>
              <w:t xml:space="preserve"> máximo 15% do CMR são cobertos por PLA de nível 3; e</w:t>
            </w:r>
          </w:p>
          <w:p w14:paraId="54EBCCFE" w14:textId="77777777" w:rsidR="00005C6E" w:rsidRPr="00005C6E" w:rsidRDefault="00005C6E" w:rsidP="00005C6E">
            <w:pPr>
              <w:jc w:val="both"/>
              <w:rPr>
                <w:rFonts w:ascii="Calibri" w:hAnsi="Calibri" w:cs="Calibri"/>
                <w:color w:val="000000"/>
                <w:sz w:val="22"/>
                <w:szCs w:val="22"/>
              </w:rPr>
            </w:pPr>
          </w:p>
          <w:p w14:paraId="75240F2D" w14:textId="77777777" w:rsidR="00005C6E" w:rsidRPr="00005C6E" w:rsidRDefault="00005C6E" w:rsidP="00005C6E">
            <w:pPr>
              <w:jc w:val="both"/>
              <w:rPr>
                <w:rFonts w:ascii="Calibri" w:hAnsi="Calibri" w:cs="Calibri"/>
                <w:color w:val="000000"/>
                <w:sz w:val="22"/>
                <w:szCs w:val="22"/>
              </w:rPr>
            </w:pPr>
            <w:r w:rsidRPr="00005C6E">
              <w:rPr>
                <w:rFonts w:ascii="Calibri" w:hAnsi="Calibri" w:cs="Calibri"/>
                <w:color w:val="000000"/>
                <w:sz w:val="22"/>
                <w:szCs w:val="22"/>
              </w:rPr>
              <w:t xml:space="preserve">III - no máximo 50% do CMR são cobertos pela soma do </w:t>
            </w:r>
            <w:proofErr w:type="spellStart"/>
            <w:r w:rsidRPr="00005C6E">
              <w:rPr>
                <w:rFonts w:ascii="Calibri" w:hAnsi="Calibri" w:cs="Calibri"/>
                <w:color w:val="000000"/>
                <w:sz w:val="22"/>
                <w:szCs w:val="22"/>
              </w:rPr>
              <w:t>PLAs</w:t>
            </w:r>
            <w:proofErr w:type="spellEnd"/>
            <w:r w:rsidRPr="00005C6E">
              <w:rPr>
                <w:rFonts w:ascii="Calibri" w:hAnsi="Calibri" w:cs="Calibri"/>
                <w:color w:val="000000"/>
                <w:sz w:val="22"/>
                <w:szCs w:val="22"/>
              </w:rPr>
              <w:t xml:space="preserve"> de nível 2 e de nível 3.</w:t>
            </w:r>
          </w:p>
          <w:p w14:paraId="03672890" w14:textId="77777777" w:rsidR="00005C6E" w:rsidRPr="00005C6E" w:rsidRDefault="00005C6E" w:rsidP="00005C6E">
            <w:pPr>
              <w:jc w:val="both"/>
              <w:rPr>
                <w:rFonts w:ascii="Calibri" w:hAnsi="Calibri" w:cs="Calibri"/>
                <w:color w:val="000000"/>
                <w:sz w:val="22"/>
                <w:szCs w:val="22"/>
              </w:rPr>
            </w:pPr>
          </w:p>
          <w:p w14:paraId="278BCF7E" w14:textId="77777777" w:rsidR="00005C6E" w:rsidRPr="00005C6E" w:rsidRDefault="00005C6E" w:rsidP="00005C6E">
            <w:pPr>
              <w:jc w:val="both"/>
              <w:rPr>
                <w:rFonts w:ascii="Calibri" w:hAnsi="Calibri" w:cs="Calibri"/>
                <w:color w:val="000000"/>
                <w:sz w:val="22"/>
                <w:szCs w:val="22"/>
              </w:rPr>
            </w:pPr>
            <w:r w:rsidRPr="00005C6E">
              <w:rPr>
                <w:rFonts w:ascii="Calibri" w:hAnsi="Calibri" w:cs="Calibri"/>
                <w:color w:val="000000"/>
                <w:sz w:val="22"/>
                <w:szCs w:val="22"/>
              </w:rPr>
              <w:t xml:space="preserve">Parágrafo único. Os limites apresentados nesse artigo serão exigidos a partir da data base de junho de </w:t>
            </w:r>
            <w:proofErr w:type="gramStart"/>
            <w:r w:rsidRPr="00005C6E">
              <w:rPr>
                <w:rFonts w:ascii="Calibri" w:hAnsi="Calibri" w:cs="Calibri"/>
                <w:color w:val="000000"/>
                <w:sz w:val="22"/>
                <w:szCs w:val="22"/>
              </w:rPr>
              <w:t>2021.“</w:t>
            </w:r>
            <w:proofErr w:type="gramEnd"/>
            <w:r w:rsidRPr="00005C6E">
              <w:rPr>
                <w:rFonts w:ascii="Calibri" w:hAnsi="Calibri" w:cs="Calibri"/>
                <w:color w:val="000000"/>
                <w:sz w:val="22"/>
                <w:szCs w:val="22"/>
              </w:rPr>
              <w:t xml:space="preserve"> (NR)</w:t>
            </w:r>
          </w:p>
          <w:p w14:paraId="39A3CA93" w14:textId="77777777" w:rsidR="00005C6E" w:rsidRPr="00005C6E" w:rsidRDefault="00005C6E" w:rsidP="00005C6E">
            <w:pPr>
              <w:jc w:val="both"/>
              <w:rPr>
                <w:rFonts w:ascii="Calibri" w:hAnsi="Calibri" w:cs="Calibri"/>
                <w:color w:val="000000"/>
                <w:sz w:val="22"/>
                <w:szCs w:val="22"/>
              </w:rPr>
            </w:pPr>
          </w:p>
          <w:p w14:paraId="5CF8FCCB" w14:textId="77777777" w:rsidR="00005C6E" w:rsidRPr="00005C6E" w:rsidRDefault="00005C6E" w:rsidP="00005C6E">
            <w:pPr>
              <w:jc w:val="both"/>
              <w:rPr>
                <w:rFonts w:ascii="Calibri" w:hAnsi="Calibri" w:cs="Calibri"/>
                <w:color w:val="000000"/>
                <w:sz w:val="22"/>
                <w:szCs w:val="22"/>
              </w:rPr>
            </w:pPr>
          </w:p>
        </w:tc>
        <w:tc>
          <w:tcPr>
            <w:tcW w:w="5245" w:type="dxa"/>
          </w:tcPr>
          <w:p w14:paraId="5706EBF5" w14:textId="77777777" w:rsidR="00005C6E" w:rsidRPr="00005C6E" w:rsidRDefault="00005C6E" w:rsidP="00005C6E">
            <w:pPr>
              <w:jc w:val="both"/>
              <w:rPr>
                <w:rFonts w:ascii="Calibri" w:hAnsi="Calibri" w:cs="Calibri"/>
                <w:color w:val="000000"/>
                <w:sz w:val="22"/>
                <w:szCs w:val="22"/>
              </w:rPr>
            </w:pPr>
          </w:p>
        </w:tc>
        <w:tc>
          <w:tcPr>
            <w:tcW w:w="5532" w:type="dxa"/>
          </w:tcPr>
          <w:p w14:paraId="3F970BA4" w14:textId="77777777" w:rsidR="00005C6E" w:rsidRPr="00005C6E" w:rsidRDefault="00005C6E" w:rsidP="00005C6E">
            <w:pPr>
              <w:jc w:val="both"/>
              <w:rPr>
                <w:rFonts w:ascii="Calibri" w:hAnsi="Calibri" w:cs="Calibri"/>
                <w:color w:val="000000"/>
                <w:sz w:val="22"/>
                <w:szCs w:val="22"/>
              </w:rPr>
            </w:pPr>
          </w:p>
        </w:tc>
      </w:tr>
      <w:tr w:rsidR="00005C6E" w:rsidRPr="0056460E" w14:paraId="566C4A2F" w14:textId="77777777" w:rsidTr="007632B3">
        <w:trPr>
          <w:trHeight w:val="862"/>
        </w:trPr>
        <w:tc>
          <w:tcPr>
            <w:tcW w:w="5104" w:type="dxa"/>
          </w:tcPr>
          <w:p w14:paraId="63AAFB0A" w14:textId="77777777" w:rsidR="00FF26D3" w:rsidRPr="00005C6E" w:rsidRDefault="00FF26D3" w:rsidP="00FF26D3">
            <w:pPr>
              <w:jc w:val="both"/>
              <w:rPr>
                <w:rFonts w:ascii="Calibri" w:hAnsi="Calibri" w:cs="Calibri"/>
                <w:b/>
                <w:color w:val="000000"/>
                <w:sz w:val="22"/>
                <w:szCs w:val="22"/>
              </w:rPr>
            </w:pPr>
            <w:r w:rsidRPr="00005C6E">
              <w:rPr>
                <w:rFonts w:ascii="Calibri" w:hAnsi="Calibri" w:cs="Calibri"/>
                <w:b/>
                <w:color w:val="000000"/>
                <w:sz w:val="22"/>
                <w:szCs w:val="22"/>
              </w:rPr>
              <w:t>“CAPÍTULO V</w:t>
            </w:r>
          </w:p>
          <w:p w14:paraId="316DA4CC" w14:textId="77777777" w:rsidR="00FF26D3" w:rsidRPr="00005C6E" w:rsidRDefault="00FF26D3" w:rsidP="00FF26D3">
            <w:pPr>
              <w:jc w:val="both"/>
              <w:rPr>
                <w:rFonts w:ascii="Calibri" w:hAnsi="Calibri" w:cs="Calibri"/>
                <w:b/>
                <w:color w:val="000000"/>
                <w:sz w:val="22"/>
                <w:szCs w:val="22"/>
              </w:rPr>
            </w:pPr>
          </w:p>
          <w:p w14:paraId="55725106" w14:textId="5657EABE" w:rsidR="00FF26D3" w:rsidRDefault="00FF26D3" w:rsidP="00FF26D3">
            <w:pPr>
              <w:jc w:val="both"/>
              <w:rPr>
                <w:rFonts w:ascii="Calibri" w:hAnsi="Calibri" w:cs="Calibri"/>
                <w:color w:val="000000"/>
                <w:sz w:val="22"/>
                <w:szCs w:val="22"/>
              </w:rPr>
            </w:pPr>
            <w:r w:rsidRPr="00005C6E">
              <w:rPr>
                <w:rFonts w:ascii="Calibri" w:hAnsi="Calibri" w:cs="Calibri"/>
                <w:b/>
                <w:color w:val="000000"/>
                <w:sz w:val="22"/>
                <w:szCs w:val="22"/>
              </w:rPr>
              <w:t>Do Capital Mínimo Requerido e dos Planos de Regularização de Solvência e de Suficiência de Cobertura</w:t>
            </w:r>
          </w:p>
          <w:p w14:paraId="1D9B236E" w14:textId="77777777" w:rsidR="00FF26D3" w:rsidRDefault="00FF26D3" w:rsidP="00005C6E">
            <w:pPr>
              <w:jc w:val="both"/>
              <w:rPr>
                <w:rFonts w:ascii="Calibri" w:hAnsi="Calibri" w:cs="Calibri"/>
                <w:color w:val="000000"/>
                <w:sz w:val="22"/>
                <w:szCs w:val="22"/>
              </w:rPr>
            </w:pPr>
          </w:p>
          <w:p w14:paraId="71224E17" w14:textId="59C87662" w:rsidR="00005C6E" w:rsidRPr="00005C6E" w:rsidRDefault="00005C6E" w:rsidP="00005C6E">
            <w:pPr>
              <w:jc w:val="both"/>
              <w:rPr>
                <w:rFonts w:ascii="Calibri" w:hAnsi="Calibri" w:cs="Calibri"/>
                <w:color w:val="000000"/>
                <w:sz w:val="22"/>
                <w:szCs w:val="22"/>
              </w:rPr>
            </w:pPr>
            <w:r w:rsidRPr="00005C6E">
              <w:rPr>
                <w:rFonts w:ascii="Calibri" w:hAnsi="Calibri" w:cs="Calibri"/>
                <w:color w:val="000000"/>
                <w:sz w:val="22"/>
                <w:szCs w:val="22"/>
              </w:rPr>
              <w:t>Art. 65. .....................................................</w:t>
            </w:r>
            <w:r>
              <w:rPr>
                <w:rFonts w:ascii="Calibri" w:hAnsi="Calibri" w:cs="Calibri"/>
                <w:color w:val="000000"/>
                <w:sz w:val="22"/>
                <w:szCs w:val="22"/>
              </w:rPr>
              <w:t>...................</w:t>
            </w:r>
            <w:r w:rsidRPr="00005C6E">
              <w:rPr>
                <w:rFonts w:ascii="Calibri" w:hAnsi="Calibri" w:cs="Calibri"/>
                <w:color w:val="000000"/>
                <w:sz w:val="22"/>
                <w:szCs w:val="22"/>
              </w:rPr>
              <w:t>...</w:t>
            </w:r>
          </w:p>
          <w:p w14:paraId="3ACC24DA" w14:textId="7D1F88C3" w:rsidR="00005C6E" w:rsidRPr="00005C6E" w:rsidRDefault="00005C6E" w:rsidP="00005C6E">
            <w:pPr>
              <w:jc w:val="both"/>
              <w:rPr>
                <w:rFonts w:ascii="Calibri" w:hAnsi="Calibri" w:cs="Calibri"/>
                <w:color w:val="000000"/>
                <w:sz w:val="22"/>
                <w:szCs w:val="22"/>
              </w:rPr>
            </w:pPr>
            <w:r w:rsidRPr="00005C6E">
              <w:rPr>
                <w:rFonts w:ascii="Calibri" w:hAnsi="Calibri" w:cs="Calibri"/>
                <w:color w:val="000000"/>
                <w:sz w:val="22"/>
                <w:szCs w:val="22"/>
              </w:rPr>
              <w:t>........................................................................................</w:t>
            </w:r>
          </w:p>
          <w:p w14:paraId="44AE919E" w14:textId="77777777" w:rsidR="00005C6E" w:rsidRPr="00005C6E" w:rsidRDefault="00005C6E" w:rsidP="00005C6E">
            <w:pPr>
              <w:jc w:val="both"/>
              <w:rPr>
                <w:rFonts w:ascii="Calibri" w:hAnsi="Calibri" w:cs="Calibri"/>
                <w:color w:val="000000"/>
                <w:sz w:val="22"/>
                <w:szCs w:val="22"/>
              </w:rPr>
            </w:pPr>
          </w:p>
          <w:p w14:paraId="78152CBE" w14:textId="77777777" w:rsidR="00005C6E" w:rsidRPr="00005C6E" w:rsidRDefault="00005C6E" w:rsidP="00005C6E">
            <w:pPr>
              <w:jc w:val="both"/>
              <w:rPr>
                <w:rFonts w:ascii="Calibri" w:hAnsi="Calibri" w:cs="Calibri"/>
                <w:color w:val="000000"/>
                <w:sz w:val="22"/>
                <w:szCs w:val="22"/>
              </w:rPr>
            </w:pPr>
            <w:r w:rsidRPr="00005C6E">
              <w:rPr>
                <w:rFonts w:ascii="Calibri" w:hAnsi="Calibri" w:cs="Calibri"/>
                <w:color w:val="000000"/>
                <w:sz w:val="22"/>
                <w:szCs w:val="22"/>
              </w:rPr>
              <w:t>VI - plano de regularização de solvência (PRS): plano que deverá ser enviado à Susep pela supervisionada, na forma estabelecida nesta Resolução, visando à recomposição da situação de solvência, quando a insuficiência do PLA em relação ao CMR for de até 50% (cinquenta por cento) ou quando não for cumprido o requisito de qualidade de cobertura do CMR, nos termos desta Resolução;</w:t>
            </w:r>
          </w:p>
          <w:p w14:paraId="5F6266C3" w14:textId="77777777" w:rsidR="00005C6E" w:rsidRPr="00005C6E" w:rsidRDefault="00005C6E" w:rsidP="00005C6E">
            <w:pPr>
              <w:jc w:val="both"/>
              <w:rPr>
                <w:rFonts w:ascii="Calibri" w:hAnsi="Calibri" w:cs="Calibri"/>
                <w:color w:val="000000"/>
                <w:sz w:val="22"/>
                <w:szCs w:val="22"/>
              </w:rPr>
            </w:pPr>
          </w:p>
          <w:p w14:paraId="5D0D3CDA" w14:textId="381F82AB" w:rsidR="00005C6E" w:rsidRPr="00005C6E" w:rsidRDefault="00005C6E" w:rsidP="00005C6E">
            <w:pPr>
              <w:jc w:val="both"/>
              <w:rPr>
                <w:rFonts w:ascii="Calibri" w:hAnsi="Calibri" w:cs="Calibri"/>
                <w:color w:val="000000"/>
                <w:sz w:val="22"/>
                <w:szCs w:val="22"/>
              </w:rPr>
            </w:pPr>
            <w:r w:rsidRPr="00005C6E">
              <w:rPr>
                <w:rFonts w:ascii="Calibri" w:hAnsi="Calibri" w:cs="Calibri"/>
                <w:color w:val="000000"/>
                <w:sz w:val="22"/>
                <w:szCs w:val="22"/>
              </w:rPr>
              <w:t>........................................................................................</w:t>
            </w:r>
          </w:p>
          <w:p w14:paraId="5FE45441" w14:textId="77777777" w:rsidR="00005C6E" w:rsidRPr="00005C6E" w:rsidRDefault="00005C6E" w:rsidP="00005C6E">
            <w:pPr>
              <w:jc w:val="both"/>
              <w:rPr>
                <w:rFonts w:ascii="Calibri" w:hAnsi="Calibri" w:cs="Calibri"/>
                <w:color w:val="000000"/>
                <w:sz w:val="22"/>
                <w:szCs w:val="22"/>
              </w:rPr>
            </w:pPr>
          </w:p>
          <w:p w14:paraId="55813261" w14:textId="77777777" w:rsidR="00005C6E" w:rsidRPr="00005C6E" w:rsidRDefault="00005C6E" w:rsidP="00005C6E">
            <w:pPr>
              <w:jc w:val="both"/>
              <w:rPr>
                <w:rFonts w:ascii="Calibri" w:hAnsi="Calibri" w:cs="Calibri"/>
                <w:color w:val="000000"/>
                <w:sz w:val="22"/>
                <w:szCs w:val="22"/>
              </w:rPr>
            </w:pPr>
            <w:r w:rsidRPr="00005C6E">
              <w:rPr>
                <w:rFonts w:ascii="Calibri" w:hAnsi="Calibri" w:cs="Calibri"/>
                <w:color w:val="000000"/>
                <w:sz w:val="22"/>
                <w:szCs w:val="22"/>
              </w:rPr>
              <w:t xml:space="preserve">VIII - plano de regularização de suficiência de cobertura (PRC): plano que deverá ser enviado à Susep pela supervisionada, na forma estabelecida nesta </w:t>
            </w:r>
            <w:r w:rsidRPr="00005C6E">
              <w:rPr>
                <w:rFonts w:ascii="Calibri" w:hAnsi="Calibri" w:cs="Calibri"/>
                <w:color w:val="000000"/>
                <w:sz w:val="22"/>
                <w:szCs w:val="22"/>
              </w:rPr>
              <w:lastRenderedPageBreak/>
              <w:t xml:space="preserve">Resolução, visando à recomposição da situação de cobertura das provisões técnicas; e </w:t>
            </w:r>
          </w:p>
          <w:p w14:paraId="58769B3D" w14:textId="77777777" w:rsidR="00005C6E" w:rsidRPr="00005C6E" w:rsidRDefault="00005C6E" w:rsidP="00005C6E">
            <w:pPr>
              <w:jc w:val="both"/>
              <w:rPr>
                <w:rFonts w:ascii="Calibri" w:hAnsi="Calibri" w:cs="Calibri"/>
                <w:color w:val="000000"/>
                <w:sz w:val="22"/>
                <w:szCs w:val="22"/>
              </w:rPr>
            </w:pPr>
          </w:p>
          <w:p w14:paraId="592E517E" w14:textId="77777777" w:rsidR="00005C6E" w:rsidRPr="00005C6E" w:rsidRDefault="00005C6E" w:rsidP="00005C6E">
            <w:pPr>
              <w:jc w:val="both"/>
              <w:rPr>
                <w:rFonts w:ascii="Calibri" w:hAnsi="Calibri" w:cs="Calibri"/>
                <w:color w:val="000000"/>
                <w:sz w:val="22"/>
                <w:szCs w:val="22"/>
              </w:rPr>
            </w:pPr>
            <w:r w:rsidRPr="00005C6E">
              <w:rPr>
                <w:rFonts w:ascii="Calibri" w:hAnsi="Calibri" w:cs="Calibri"/>
                <w:color w:val="000000"/>
                <w:sz w:val="22"/>
                <w:szCs w:val="22"/>
              </w:rPr>
              <w:t>IX - insuficiência de cobertura de provisões técnicas: insuficiência de ativo garantidor em relação ao montante de provisões técnicas subtraído do valor dos ativos redutores da necessidade de cobertura, desconsiderando o montante das provisões matemáticas de benefícios a conceder e dos seus correspondentes fundos de investimentos especialmente constituídos, relativos a planos abertos de previdência complementar e de seguros de pessoas com cobertura por sobrevivência cuja remuneração esteja calcada na rentabilidade de carteiras de investimentos durante o prazo de diferimento. " (NR)</w:t>
            </w:r>
          </w:p>
          <w:p w14:paraId="60F942E9" w14:textId="77777777" w:rsidR="00005C6E" w:rsidRPr="00005C6E" w:rsidRDefault="00005C6E" w:rsidP="00005C6E">
            <w:pPr>
              <w:jc w:val="both"/>
              <w:rPr>
                <w:rFonts w:ascii="Calibri" w:hAnsi="Calibri" w:cs="Calibri"/>
                <w:color w:val="000000"/>
                <w:sz w:val="22"/>
                <w:szCs w:val="22"/>
              </w:rPr>
            </w:pPr>
          </w:p>
          <w:p w14:paraId="5BB176C6" w14:textId="77777777" w:rsidR="00005C6E" w:rsidRPr="00005C6E" w:rsidRDefault="00005C6E" w:rsidP="00005C6E">
            <w:pPr>
              <w:jc w:val="both"/>
              <w:rPr>
                <w:rFonts w:ascii="Calibri" w:hAnsi="Calibri" w:cs="Calibri"/>
                <w:color w:val="000000"/>
                <w:sz w:val="22"/>
                <w:szCs w:val="22"/>
              </w:rPr>
            </w:pPr>
          </w:p>
        </w:tc>
        <w:tc>
          <w:tcPr>
            <w:tcW w:w="5245" w:type="dxa"/>
          </w:tcPr>
          <w:p w14:paraId="42267527" w14:textId="77777777" w:rsidR="00005C6E" w:rsidRPr="00005C6E" w:rsidRDefault="00005C6E" w:rsidP="00005C6E">
            <w:pPr>
              <w:jc w:val="both"/>
              <w:rPr>
                <w:rFonts w:ascii="Calibri" w:hAnsi="Calibri" w:cs="Calibri"/>
                <w:color w:val="000000"/>
                <w:sz w:val="22"/>
                <w:szCs w:val="22"/>
              </w:rPr>
            </w:pPr>
          </w:p>
        </w:tc>
        <w:tc>
          <w:tcPr>
            <w:tcW w:w="5532" w:type="dxa"/>
          </w:tcPr>
          <w:p w14:paraId="5869303C" w14:textId="77777777" w:rsidR="00005C6E" w:rsidRPr="00005C6E" w:rsidRDefault="00005C6E" w:rsidP="00005C6E">
            <w:pPr>
              <w:jc w:val="both"/>
              <w:rPr>
                <w:rFonts w:ascii="Calibri" w:hAnsi="Calibri" w:cs="Calibri"/>
                <w:color w:val="000000"/>
                <w:sz w:val="22"/>
                <w:szCs w:val="22"/>
              </w:rPr>
            </w:pPr>
          </w:p>
        </w:tc>
      </w:tr>
      <w:tr w:rsidR="00005C6E" w:rsidRPr="0056460E" w14:paraId="1A7910A3" w14:textId="77777777" w:rsidTr="007632B3">
        <w:trPr>
          <w:trHeight w:val="862"/>
        </w:trPr>
        <w:tc>
          <w:tcPr>
            <w:tcW w:w="5104" w:type="dxa"/>
          </w:tcPr>
          <w:p w14:paraId="3FB30659" w14:textId="77777777" w:rsidR="00FF26D3" w:rsidRPr="00FF26D3" w:rsidRDefault="00FF26D3" w:rsidP="00FF26D3">
            <w:pPr>
              <w:jc w:val="both"/>
              <w:rPr>
                <w:rFonts w:ascii="Calibri" w:hAnsi="Calibri" w:cs="Calibri"/>
                <w:b/>
                <w:color w:val="000000"/>
                <w:sz w:val="22"/>
                <w:szCs w:val="22"/>
              </w:rPr>
            </w:pPr>
            <w:r w:rsidRPr="00FF26D3">
              <w:rPr>
                <w:rFonts w:ascii="Calibri" w:hAnsi="Calibri" w:cs="Calibri"/>
                <w:b/>
                <w:color w:val="000000"/>
                <w:sz w:val="22"/>
                <w:szCs w:val="22"/>
              </w:rPr>
              <w:t>“Seção I</w:t>
            </w:r>
          </w:p>
          <w:p w14:paraId="52075986" w14:textId="77777777" w:rsidR="00FF26D3" w:rsidRPr="00FF26D3" w:rsidRDefault="00FF26D3" w:rsidP="00FF26D3">
            <w:pPr>
              <w:jc w:val="both"/>
              <w:rPr>
                <w:rFonts w:ascii="Calibri" w:hAnsi="Calibri" w:cs="Calibri"/>
                <w:b/>
                <w:color w:val="000000"/>
                <w:sz w:val="22"/>
                <w:szCs w:val="22"/>
              </w:rPr>
            </w:pPr>
          </w:p>
          <w:p w14:paraId="7F0257AC" w14:textId="77777777" w:rsidR="00FF26D3" w:rsidRPr="00FF26D3" w:rsidRDefault="00FF26D3" w:rsidP="00FF26D3">
            <w:pPr>
              <w:jc w:val="both"/>
              <w:rPr>
                <w:rFonts w:ascii="Calibri" w:hAnsi="Calibri" w:cs="Calibri"/>
                <w:b/>
                <w:color w:val="000000"/>
                <w:sz w:val="22"/>
                <w:szCs w:val="22"/>
              </w:rPr>
            </w:pPr>
            <w:r w:rsidRPr="00FF26D3">
              <w:rPr>
                <w:rFonts w:ascii="Calibri" w:hAnsi="Calibri" w:cs="Calibri"/>
                <w:b/>
                <w:color w:val="000000"/>
                <w:sz w:val="22"/>
                <w:szCs w:val="22"/>
              </w:rPr>
              <w:t>Das Exigências de Capital e de Cobertura de Provisões Técnicas</w:t>
            </w:r>
          </w:p>
          <w:p w14:paraId="17EA5434" w14:textId="77777777" w:rsidR="00FF26D3" w:rsidRPr="00FF26D3" w:rsidRDefault="00FF26D3" w:rsidP="00FF26D3">
            <w:pPr>
              <w:jc w:val="both"/>
              <w:rPr>
                <w:rFonts w:ascii="Calibri" w:hAnsi="Calibri" w:cs="Calibri"/>
                <w:color w:val="000000"/>
                <w:sz w:val="22"/>
                <w:szCs w:val="22"/>
              </w:rPr>
            </w:pPr>
          </w:p>
          <w:p w14:paraId="2675A23D" w14:textId="23EA0A6D" w:rsidR="00FF26D3" w:rsidRDefault="00FF26D3" w:rsidP="00FF26D3">
            <w:pPr>
              <w:jc w:val="both"/>
              <w:rPr>
                <w:rFonts w:ascii="Calibri" w:hAnsi="Calibri" w:cs="Calibri"/>
                <w:color w:val="000000"/>
                <w:sz w:val="22"/>
                <w:szCs w:val="22"/>
              </w:rPr>
            </w:pPr>
            <w:r w:rsidRPr="00FF26D3">
              <w:rPr>
                <w:rFonts w:ascii="Calibri" w:hAnsi="Calibri" w:cs="Calibri"/>
                <w:color w:val="000000"/>
                <w:sz w:val="22"/>
                <w:szCs w:val="22"/>
              </w:rPr>
              <w:t xml:space="preserve">Art. 66.  As supervisionadas deverão apresentar mensalmente, quando do fechamento dos balancetes mensais, PLA igual ou superior ao CMR e cumprimento do requisito de qualidade de cobertura do CMR e, a qualquer tempo, suficiência de cobertura de provisões </w:t>
            </w:r>
            <w:proofErr w:type="gramStart"/>
            <w:r w:rsidRPr="00FF26D3">
              <w:rPr>
                <w:rFonts w:ascii="Calibri" w:hAnsi="Calibri" w:cs="Calibri"/>
                <w:color w:val="000000"/>
                <w:sz w:val="22"/>
                <w:szCs w:val="22"/>
              </w:rPr>
              <w:t>técnicas.“</w:t>
            </w:r>
            <w:proofErr w:type="gramEnd"/>
            <w:r w:rsidRPr="00FF26D3">
              <w:rPr>
                <w:rFonts w:ascii="Calibri" w:hAnsi="Calibri" w:cs="Calibri"/>
                <w:color w:val="000000"/>
                <w:sz w:val="22"/>
                <w:szCs w:val="22"/>
              </w:rPr>
              <w:t xml:space="preserve"> (NR)</w:t>
            </w:r>
          </w:p>
          <w:p w14:paraId="58BB63B2" w14:textId="77777777" w:rsidR="00005C6E" w:rsidRPr="00005C6E" w:rsidRDefault="00005C6E" w:rsidP="00005C6E">
            <w:pPr>
              <w:jc w:val="both"/>
              <w:rPr>
                <w:rFonts w:ascii="Calibri" w:hAnsi="Calibri" w:cs="Calibri"/>
                <w:color w:val="000000"/>
                <w:sz w:val="22"/>
                <w:szCs w:val="22"/>
              </w:rPr>
            </w:pPr>
          </w:p>
        </w:tc>
        <w:tc>
          <w:tcPr>
            <w:tcW w:w="5245" w:type="dxa"/>
          </w:tcPr>
          <w:p w14:paraId="27EC8825" w14:textId="77777777" w:rsidR="00005C6E" w:rsidRPr="00005C6E" w:rsidRDefault="00005C6E" w:rsidP="00005C6E">
            <w:pPr>
              <w:jc w:val="both"/>
              <w:rPr>
                <w:rFonts w:ascii="Calibri" w:hAnsi="Calibri" w:cs="Calibri"/>
                <w:color w:val="000000"/>
                <w:sz w:val="22"/>
                <w:szCs w:val="22"/>
              </w:rPr>
            </w:pPr>
          </w:p>
        </w:tc>
        <w:tc>
          <w:tcPr>
            <w:tcW w:w="5532" w:type="dxa"/>
          </w:tcPr>
          <w:p w14:paraId="382FBD2C" w14:textId="77777777" w:rsidR="00005C6E" w:rsidRPr="00005C6E" w:rsidRDefault="00005C6E" w:rsidP="00005C6E">
            <w:pPr>
              <w:jc w:val="both"/>
              <w:rPr>
                <w:rFonts w:ascii="Calibri" w:hAnsi="Calibri" w:cs="Calibri"/>
                <w:color w:val="000000"/>
                <w:sz w:val="22"/>
                <w:szCs w:val="22"/>
              </w:rPr>
            </w:pPr>
          </w:p>
        </w:tc>
      </w:tr>
      <w:tr w:rsidR="00005C6E" w:rsidRPr="0056460E" w14:paraId="05F26398" w14:textId="77777777" w:rsidTr="007632B3">
        <w:trPr>
          <w:trHeight w:val="862"/>
        </w:trPr>
        <w:tc>
          <w:tcPr>
            <w:tcW w:w="5104" w:type="dxa"/>
          </w:tcPr>
          <w:p w14:paraId="5BB7FAD4" w14:textId="77777777" w:rsidR="00FF26D3" w:rsidRPr="00FF26D3" w:rsidRDefault="00FF26D3" w:rsidP="00FF26D3">
            <w:pPr>
              <w:jc w:val="both"/>
              <w:rPr>
                <w:rFonts w:ascii="Calibri" w:hAnsi="Calibri" w:cs="Calibri"/>
                <w:color w:val="000000"/>
                <w:sz w:val="22"/>
                <w:szCs w:val="22"/>
              </w:rPr>
            </w:pPr>
            <w:r w:rsidRPr="00FF26D3">
              <w:rPr>
                <w:rFonts w:ascii="Calibri" w:hAnsi="Calibri" w:cs="Calibri"/>
                <w:color w:val="000000"/>
                <w:sz w:val="22"/>
                <w:szCs w:val="22"/>
              </w:rPr>
              <w:t xml:space="preserve">“Art. 67.  Na hipótese de insuficiência de PLA em relação ao CMR de até 50% (cinquenta por cento) ou quando não for cumprido o requisito de qualidade de cobertura do CMR, a supervisionada deverá apresentar PRS, na forma disposta neste Capítulo, propondo plano de ação que vise à recomposição da situação de solvência. </w:t>
            </w:r>
          </w:p>
          <w:p w14:paraId="3C1E74D4" w14:textId="77777777" w:rsidR="00FF26D3" w:rsidRPr="00FF26D3" w:rsidRDefault="00FF26D3" w:rsidP="00FF26D3">
            <w:pPr>
              <w:jc w:val="both"/>
              <w:rPr>
                <w:rFonts w:ascii="Calibri" w:hAnsi="Calibri" w:cs="Calibri"/>
                <w:color w:val="000000"/>
                <w:sz w:val="22"/>
                <w:szCs w:val="22"/>
              </w:rPr>
            </w:pPr>
          </w:p>
          <w:p w14:paraId="7774AC60" w14:textId="77777777" w:rsidR="00FF26D3" w:rsidRPr="00FF26D3" w:rsidRDefault="00FF26D3" w:rsidP="00FF26D3">
            <w:pPr>
              <w:jc w:val="both"/>
              <w:rPr>
                <w:rFonts w:ascii="Calibri" w:hAnsi="Calibri" w:cs="Calibri"/>
                <w:color w:val="000000"/>
                <w:sz w:val="22"/>
                <w:szCs w:val="22"/>
              </w:rPr>
            </w:pPr>
            <w:r w:rsidRPr="00FF26D3">
              <w:rPr>
                <w:rFonts w:ascii="Calibri" w:hAnsi="Calibri" w:cs="Calibri"/>
                <w:color w:val="000000"/>
                <w:sz w:val="22"/>
                <w:szCs w:val="22"/>
              </w:rPr>
              <w:t xml:space="preserve">§ 1º O PRS somente será requerido se forem observados insuficiência de PLA em relação ao CMR ou não cumprimento do requisito de qualidade de </w:t>
            </w:r>
            <w:r w:rsidRPr="00FF26D3">
              <w:rPr>
                <w:rFonts w:ascii="Calibri" w:hAnsi="Calibri" w:cs="Calibri"/>
                <w:color w:val="000000"/>
                <w:sz w:val="22"/>
                <w:szCs w:val="22"/>
              </w:rPr>
              <w:lastRenderedPageBreak/>
              <w:t>cobertura do CMR por 3 (três) meses consecutivos ou, especificamente, nos meses de junho e dezembro.</w:t>
            </w:r>
          </w:p>
          <w:p w14:paraId="64C8E4C9" w14:textId="77777777" w:rsidR="00005C6E" w:rsidRDefault="00FF26D3" w:rsidP="00FF26D3">
            <w:pPr>
              <w:jc w:val="both"/>
              <w:rPr>
                <w:rFonts w:ascii="Calibri" w:hAnsi="Calibri" w:cs="Calibri"/>
                <w:color w:val="000000"/>
                <w:sz w:val="22"/>
                <w:szCs w:val="22"/>
              </w:rPr>
            </w:pPr>
            <w:r w:rsidRPr="00FF26D3">
              <w:rPr>
                <w:rFonts w:ascii="Calibri" w:hAnsi="Calibri" w:cs="Calibri"/>
                <w:color w:val="000000"/>
                <w:sz w:val="22"/>
                <w:szCs w:val="22"/>
              </w:rPr>
              <w:t>....................................................................... “ (NR)</w:t>
            </w:r>
          </w:p>
          <w:p w14:paraId="689B65E3" w14:textId="423E22C6" w:rsidR="00FF26D3" w:rsidRPr="00005C6E" w:rsidRDefault="00FF26D3" w:rsidP="00FF26D3">
            <w:pPr>
              <w:jc w:val="both"/>
              <w:rPr>
                <w:rFonts w:ascii="Calibri" w:hAnsi="Calibri" w:cs="Calibri"/>
                <w:color w:val="000000"/>
                <w:sz w:val="22"/>
                <w:szCs w:val="22"/>
              </w:rPr>
            </w:pPr>
          </w:p>
        </w:tc>
        <w:tc>
          <w:tcPr>
            <w:tcW w:w="5245" w:type="dxa"/>
          </w:tcPr>
          <w:p w14:paraId="2CA099F2" w14:textId="77777777" w:rsidR="00005C6E" w:rsidRPr="00005C6E" w:rsidRDefault="00005C6E" w:rsidP="00005C6E">
            <w:pPr>
              <w:jc w:val="both"/>
              <w:rPr>
                <w:rFonts w:ascii="Calibri" w:hAnsi="Calibri" w:cs="Calibri"/>
                <w:color w:val="000000"/>
                <w:sz w:val="22"/>
                <w:szCs w:val="22"/>
              </w:rPr>
            </w:pPr>
          </w:p>
        </w:tc>
        <w:tc>
          <w:tcPr>
            <w:tcW w:w="5532" w:type="dxa"/>
          </w:tcPr>
          <w:p w14:paraId="283EA2A5" w14:textId="77777777" w:rsidR="00005C6E" w:rsidRPr="00005C6E" w:rsidRDefault="00005C6E" w:rsidP="00005C6E">
            <w:pPr>
              <w:jc w:val="both"/>
              <w:rPr>
                <w:rFonts w:ascii="Calibri" w:hAnsi="Calibri" w:cs="Calibri"/>
                <w:color w:val="000000"/>
                <w:sz w:val="22"/>
                <w:szCs w:val="22"/>
              </w:rPr>
            </w:pPr>
          </w:p>
        </w:tc>
      </w:tr>
      <w:tr w:rsidR="00FF26D3" w:rsidRPr="0056460E" w14:paraId="335EE59E" w14:textId="77777777" w:rsidTr="007632B3">
        <w:trPr>
          <w:trHeight w:val="862"/>
        </w:trPr>
        <w:tc>
          <w:tcPr>
            <w:tcW w:w="5104" w:type="dxa"/>
          </w:tcPr>
          <w:p w14:paraId="1933A07B" w14:textId="77777777" w:rsidR="00FF26D3" w:rsidRPr="00FF26D3" w:rsidRDefault="00FF26D3" w:rsidP="00FF26D3">
            <w:pPr>
              <w:jc w:val="both"/>
              <w:rPr>
                <w:rFonts w:ascii="Calibri" w:hAnsi="Calibri" w:cs="Calibri"/>
                <w:color w:val="000000"/>
                <w:sz w:val="22"/>
                <w:szCs w:val="22"/>
              </w:rPr>
            </w:pPr>
            <w:r w:rsidRPr="00FF26D3">
              <w:rPr>
                <w:rFonts w:ascii="Calibri" w:hAnsi="Calibri" w:cs="Calibri"/>
                <w:color w:val="000000"/>
                <w:sz w:val="22"/>
                <w:szCs w:val="22"/>
              </w:rPr>
              <w:t>“Art. 69-A. Na hipótese de insuficiência de cobertura de provisões técnicas, nas datas de fechamento dos balancetes mensais, a supervisionada deverá apresentar PRC, na forma disposta neste Capítulo, propondo plano de ação que vise à recomposição dessa situação.</w:t>
            </w:r>
          </w:p>
          <w:p w14:paraId="6CA051F8" w14:textId="77777777" w:rsidR="00FF26D3" w:rsidRPr="00FF26D3" w:rsidRDefault="00FF26D3" w:rsidP="00FF26D3">
            <w:pPr>
              <w:jc w:val="both"/>
              <w:rPr>
                <w:rFonts w:ascii="Calibri" w:hAnsi="Calibri" w:cs="Calibri"/>
                <w:color w:val="000000"/>
                <w:sz w:val="22"/>
                <w:szCs w:val="22"/>
              </w:rPr>
            </w:pPr>
          </w:p>
          <w:p w14:paraId="5D757547" w14:textId="77777777" w:rsidR="00FF26D3" w:rsidRDefault="00FF26D3" w:rsidP="00FF26D3">
            <w:pPr>
              <w:jc w:val="both"/>
              <w:rPr>
                <w:rFonts w:ascii="Calibri" w:hAnsi="Calibri" w:cs="Calibri"/>
                <w:color w:val="000000"/>
                <w:sz w:val="22"/>
                <w:szCs w:val="22"/>
              </w:rPr>
            </w:pPr>
            <w:r w:rsidRPr="00FF26D3">
              <w:rPr>
                <w:rFonts w:ascii="Calibri" w:hAnsi="Calibri" w:cs="Calibri"/>
                <w:color w:val="000000"/>
                <w:sz w:val="22"/>
                <w:szCs w:val="22"/>
              </w:rPr>
              <w:t xml:space="preserve">§1º Na hipótese prevista no </w:t>
            </w:r>
            <w:r w:rsidRPr="001E1E9D">
              <w:rPr>
                <w:rFonts w:ascii="Calibri" w:hAnsi="Calibri" w:cs="Calibri"/>
                <w:b/>
                <w:color w:val="000000"/>
                <w:sz w:val="22"/>
                <w:szCs w:val="22"/>
              </w:rPr>
              <w:t>caput</w:t>
            </w:r>
            <w:r w:rsidRPr="00FF26D3">
              <w:rPr>
                <w:rFonts w:ascii="Calibri" w:hAnsi="Calibri" w:cs="Calibri"/>
                <w:color w:val="000000"/>
                <w:sz w:val="22"/>
                <w:szCs w:val="22"/>
              </w:rPr>
              <w:t>, a Susep poderá, em conjunto com PRC, instalar fiscalização especial mediante justificativa fundamentada.</w:t>
            </w:r>
          </w:p>
          <w:p w14:paraId="6040BDEB" w14:textId="77777777" w:rsidR="00FF26D3" w:rsidRPr="00FF26D3" w:rsidRDefault="00FF26D3" w:rsidP="00FF26D3">
            <w:pPr>
              <w:jc w:val="both"/>
              <w:rPr>
                <w:rFonts w:ascii="Calibri" w:hAnsi="Calibri" w:cs="Calibri"/>
                <w:color w:val="000000"/>
                <w:sz w:val="22"/>
                <w:szCs w:val="22"/>
              </w:rPr>
            </w:pPr>
          </w:p>
          <w:p w14:paraId="54B2890E" w14:textId="77777777" w:rsidR="00FF26D3" w:rsidRDefault="00FF26D3" w:rsidP="00FF26D3">
            <w:pPr>
              <w:jc w:val="both"/>
              <w:rPr>
                <w:rFonts w:ascii="Calibri" w:hAnsi="Calibri" w:cs="Calibri"/>
                <w:color w:val="000000"/>
                <w:sz w:val="22"/>
                <w:szCs w:val="22"/>
              </w:rPr>
            </w:pPr>
            <w:r w:rsidRPr="00FF26D3">
              <w:rPr>
                <w:rFonts w:ascii="Calibri" w:hAnsi="Calibri" w:cs="Calibri"/>
                <w:color w:val="000000"/>
                <w:sz w:val="22"/>
                <w:szCs w:val="22"/>
              </w:rPr>
              <w:t xml:space="preserve">§2º Na hipótese prevista no </w:t>
            </w:r>
            <w:r w:rsidRPr="001E1E9D">
              <w:rPr>
                <w:rFonts w:ascii="Calibri" w:hAnsi="Calibri" w:cs="Calibri"/>
                <w:b/>
                <w:color w:val="000000"/>
                <w:sz w:val="22"/>
                <w:szCs w:val="22"/>
              </w:rPr>
              <w:t>caput</w:t>
            </w:r>
            <w:r w:rsidRPr="00FF26D3">
              <w:rPr>
                <w:rFonts w:ascii="Calibri" w:hAnsi="Calibri" w:cs="Calibri"/>
                <w:color w:val="000000"/>
                <w:sz w:val="22"/>
                <w:szCs w:val="22"/>
              </w:rPr>
              <w:t>, a Susep poderá dispensar a apresentação do PRC, caso a supervisionada comprove a solução da insuficiência antes do prazo estabelecido para apresentação do plano." (NR)</w:t>
            </w:r>
          </w:p>
          <w:p w14:paraId="49939F54" w14:textId="7E210B11" w:rsidR="00FF26D3" w:rsidRPr="00FF26D3" w:rsidRDefault="00FF26D3" w:rsidP="00FF26D3">
            <w:pPr>
              <w:jc w:val="both"/>
              <w:rPr>
                <w:rFonts w:ascii="Calibri" w:hAnsi="Calibri" w:cs="Calibri"/>
                <w:color w:val="000000"/>
                <w:sz w:val="22"/>
                <w:szCs w:val="22"/>
              </w:rPr>
            </w:pPr>
          </w:p>
        </w:tc>
        <w:tc>
          <w:tcPr>
            <w:tcW w:w="5245" w:type="dxa"/>
          </w:tcPr>
          <w:p w14:paraId="3F542CFC" w14:textId="77777777" w:rsidR="00FF26D3" w:rsidRPr="00005C6E" w:rsidRDefault="00FF26D3" w:rsidP="00005C6E">
            <w:pPr>
              <w:jc w:val="both"/>
              <w:rPr>
                <w:rFonts w:ascii="Calibri" w:hAnsi="Calibri" w:cs="Calibri"/>
                <w:color w:val="000000"/>
                <w:sz w:val="22"/>
                <w:szCs w:val="22"/>
              </w:rPr>
            </w:pPr>
          </w:p>
        </w:tc>
        <w:tc>
          <w:tcPr>
            <w:tcW w:w="5532" w:type="dxa"/>
          </w:tcPr>
          <w:p w14:paraId="1B4EA6BA" w14:textId="77777777" w:rsidR="00FF26D3" w:rsidRPr="00005C6E" w:rsidRDefault="00FF26D3" w:rsidP="00005C6E">
            <w:pPr>
              <w:jc w:val="both"/>
              <w:rPr>
                <w:rFonts w:ascii="Calibri" w:hAnsi="Calibri" w:cs="Calibri"/>
                <w:color w:val="000000"/>
                <w:sz w:val="22"/>
                <w:szCs w:val="22"/>
              </w:rPr>
            </w:pPr>
          </w:p>
        </w:tc>
      </w:tr>
      <w:tr w:rsidR="00FF26D3" w:rsidRPr="0056460E" w14:paraId="2CE78BB3" w14:textId="77777777" w:rsidTr="007632B3">
        <w:trPr>
          <w:trHeight w:val="862"/>
        </w:trPr>
        <w:tc>
          <w:tcPr>
            <w:tcW w:w="5104" w:type="dxa"/>
          </w:tcPr>
          <w:p w14:paraId="3431C66C" w14:textId="77777777" w:rsidR="00FF26D3" w:rsidRDefault="00FF26D3" w:rsidP="00FF26D3">
            <w:pPr>
              <w:jc w:val="both"/>
              <w:rPr>
                <w:rFonts w:ascii="Calibri" w:hAnsi="Calibri" w:cs="Calibri"/>
                <w:color w:val="000000"/>
                <w:sz w:val="22"/>
                <w:szCs w:val="22"/>
              </w:rPr>
            </w:pPr>
            <w:r>
              <w:rPr>
                <w:rFonts w:ascii="Calibri" w:hAnsi="Calibri" w:cs="Calibri"/>
                <w:color w:val="000000"/>
                <w:sz w:val="22"/>
                <w:szCs w:val="22"/>
              </w:rPr>
              <w:t>"Art. 69-B. Na hipótese em que a insuficiência de cobertura de provisões técnicas, nas datas de fechamento dos balancetes mensais, for maior que 30% (trinta por cento), a supervisionada estará sujeita à direção fiscal, conforme dispõe a legislação vigente." (NR)</w:t>
            </w:r>
          </w:p>
          <w:p w14:paraId="19292F02" w14:textId="09EBC002" w:rsidR="00FF26D3" w:rsidRPr="00FF26D3" w:rsidRDefault="00FF26D3" w:rsidP="00FF26D3">
            <w:pPr>
              <w:jc w:val="both"/>
              <w:rPr>
                <w:rFonts w:ascii="Calibri" w:hAnsi="Calibri" w:cs="Calibri"/>
                <w:color w:val="000000"/>
                <w:sz w:val="22"/>
                <w:szCs w:val="22"/>
              </w:rPr>
            </w:pPr>
          </w:p>
        </w:tc>
        <w:tc>
          <w:tcPr>
            <w:tcW w:w="5245" w:type="dxa"/>
          </w:tcPr>
          <w:p w14:paraId="5BFD0E68" w14:textId="77777777" w:rsidR="00FF26D3" w:rsidRPr="00005C6E" w:rsidRDefault="00FF26D3" w:rsidP="00005C6E">
            <w:pPr>
              <w:jc w:val="both"/>
              <w:rPr>
                <w:rFonts w:ascii="Calibri" w:hAnsi="Calibri" w:cs="Calibri"/>
                <w:color w:val="000000"/>
                <w:sz w:val="22"/>
                <w:szCs w:val="22"/>
              </w:rPr>
            </w:pPr>
          </w:p>
        </w:tc>
        <w:tc>
          <w:tcPr>
            <w:tcW w:w="5532" w:type="dxa"/>
          </w:tcPr>
          <w:p w14:paraId="161E8BD8" w14:textId="77777777" w:rsidR="00FF26D3" w:rsidRPr="00005C6E" w:rsidRDefault="00FF26D3" w:rsidP="00005C6E">
            <w:pPr>
              <w:jc w:val="both"/>
              <w:rPr>
                <w:rFonts w:ascii="Calibri" w:hAnsi="Calibri" w:cs="Calibri"/>
                <w:color w:val="000000"/>
                <w:sz w:val="22"/>
                <w:szCs w:val="22"/>
              </w:rPr>
            </w:pPr>
          </w:p>
        </w:tc>
      </w:tr>
      <w:tr w:rsidR="00FF26D3" w:rsidRPr="0056460E" w14:paraId="336076A4" w14:textId="77777777" w:rsidTr="007632B3">
        <w:trPr>
          <w:trHeight w:val="862"/>
        </w:trPr>
        <w:tc>
          <w:tcPr>
            <w:tcW w:w="5104" w:type="dxa"/>
          </w:tcPr>
          <w:p w14:paraId="61FC7F89" w14:textId="77777777" w:rsidR="00DE5B41" w:rsidRPr="0012556D" w:rsidRDefault="00DE5B41" w:rsidP="00DE5B41">
            <w:pPr>
              <w:jc w:val="both"/>
              <w:rPr>
                <w:rFonts w:ascii="Calibri" w:hAnsi="Calibri" w:cs="Calibri"/>
                <w:b/>
                <w:color w:val="000000"/>
                <w:sz w:val="22"/>
                <w:szCs w:val="22"/>
              </w:rPr>
            </w:pPr>
            <w:r w:rsidRPr="0012556D">
              <w:rPr>
                <w:rFonts w:ascii="Calibri" w:hAnsi="Calibri" w:cs="Calibri"/>
                <w:b/>
                <w:color w:val="000000"/>
                <w:sz w:val="22"/>
                <w:szCs w:val="22"/>
              </w:rPr>
              <w:t>“Seção III</w:t>
            </w:r>
          </w:p>
          <w:p w14:paraId="2EB58ECD" w14:textId="77777777" w:rsidR="00DE5B41" w:rsidRPr="0012556D" w:rsidRDefault="00DE5B41" w:rsidP="00DE5B41">
            <w:pPr>
              <w:jc w:val="both"/>
              <w:rPr>
                <w:rFonts w:ascii="Calibri" w:hAnsi="Calibri" w:cs="Calibri"/>
                <w:b/>
                <w:color w:val="000000"/>
                <w:sz w:val="22"/>
                <w:szCs w:val="22"/>
              </w:rPr>
            </w:pPr>
          </w:p>
          <w:p w14:paraId="063414C2" w14:textId="77777777" w:rsidR="00DE5B41" w:rsidRPr="0012556D" w:rsidRDefault="00DE5B41" w:rsidP="00DE5B41">
            <w:pPr>
              <w:jc w:val="both"/>
              <w:rPr>
                <w:rFonts w:ascii="Calibri" w:hAnsi="Calibri" w:cs="Calibri"/>
                <w:b/>
                <w:color w:val="000000"/>
                <w:sz w:val="22"/>
                <w:szCs w:val="22"/>
              </w:rPr>
            </w:pPr>
            <w:r w:rsidRPr="0012556D">
              <w:rPr>
                <w:rFonts w:ascii="Calibri" w:hAnsi="Calibri" w:cs="Calibri"/>
                <w:b/>
                <w:color w:val="000000"/>
                <w:sz w:val="22"/>
                <w:szCs w:val="22"/>
              </w:rPr>
              <w:t>Dos Planos de Regularização de Solvência e de Suficiência de Cobertura</w:t>
            </w:r>
          </w:p>
          <w:p w14:paraId="170D187E" w14:textId="77777777" w:rsidR="00DE5B41" w:rsidRPr="00DE5B41" w:rsidRDefault="00DE5B41" w:rsidP="00DE5B41">
            <w:pPr>
              <w:jc w:val="both"/>
              <w:rPr>
                <w:rFonts w:ascii="Calibri" w:hAnsi="Calibri" w:cs="Calibri"/>
                <w:color w:val="000000"/>
                <w:sz w:val="22"/>
                <w:szCs w:val="22"/>
              </w:rPr>
            </w:pPr>
          </w:p>
          <w:p w14:paraId="6C714E39" w14:textId="77777777" w:rsidR="00DE5B41" w:rsidRPr="00DE5B41" w:rsidRDefault="00DE5B41" w:rsidP="00DE5B41">
            <w:pPr>
              <w:jc w:val="both"/>
              <w:rPr>
                <w:rFonts w:ascii="Calibri" w:hAnsi="Calibri" w:cs="Calibri"/>
                <w:color w:val="000000"/>
                <w:sz w:val="22"/>
                <w:szCs w:val="22"/>
              </w:rPr>
            </w:pPr>
            <w:r w:rsidRPr="00DE5B41">
              <w:rPr>
                <w:rFonts w:ascii="Calibri" w:hAnsi="Calibri" w:cs="Calibri"/>
                <w:color w:val="000000"/>
                <w:sz w:val="22"/>
                <w:szCs w:val="22"/>
              </w:rPr>
              <w:t>Art. 71.  As supervisionadas deverão apresentar à Susep, conforme o caso, PRS, no prazo máximo de 45 (quarenta e cinco) dias, e PRC, no prazo máximo de 30 (trinta) dias, a contar da data do recebimento do comunicado da Susep.</w:t>
            </w:r>
          </w:p>
          <w:p w14:paraId="51D2C03D" w14:textId="77777777" w:rsidR="00DE5B41" w:rsidRPr="00DE5B41" w:rsidRDefault="00DE5B41" w:rsidP="00DE5B41">
            <w:pPr>
              <w:jc w:val="both"/>
              <w:rPr>
                <w:rFonts w:ascii="Calibri" w:hAnsi="Calibri" w:cs="Calibri"/>
                <w:color w:val="000000"/>
                <w:sz w:val="22"/>
                <w:szCs w:val="22"/>
              </w:rPr>
            </w:pPr>
          </w:p>
          <w:p w14:paraId="4F60B05B" w14:textId="77777777" w:rsidR="00FF26D3" w:rsidRDefault="00DE5B41" w:rsidP="00DE5B41">
            <w:pPr>
              <w:jc w:val="both"/>
              <w:rPr>
                <w:rFonts w:ascii="Calibri" w:hAnsi="Calibri" w:cs="Calibri"/>
                <w:color w:val="000000"/>
                <w:sz w:val="22"/>
                <w:szCs w:val="22"/>
              </w:rPr>
            </w:pPr>
            <w:r w:rsidRPr="00DE5B41">
              <w:rPr>
                <w:rFonts w:ascii="Calibri" w:hAnsi="Calibri" w:cs="Calibri"/>
                <w:color w:val="000000"/>
                <w:sz w:val="22"/>
                <w:szCs w:val="22"/>
              </w:rPr>
              <w:t xml:space="preserve">Parágrafo único. O PRS ou o PRC, conforme o caso, deverá ser aprovado pela diretoria e, se houver, pelo </w:t>
            </w:r>
            <w:r w:rsidRPr="00DE5B41">
              <w:rPr>
                <w:rFonts w:ascii="Calibri" w:hAnsi="Calibri" w:cs="Calibri"/>
                <w:color w:val="000000"/>
                <w:sz w:val="22"/>
                <w:szCs w:val="22"/>
              </w:rPr>
              <w:lastRenderedPageBreak/>
              <w:t>conselho de administração ou conselho deliberativo da supervisionada." (NR)</w:t>
            </w:r>
          </w:p>
          <w:p w14:paraId="6BF81E70" w14:textId="1D25D4C8" w:rsidR="00DE5B41" w:rsidRPr="00FF26D3" w:rsidRDefault="00DE5B41" w:rsidP="00DE5B41">
            <w:pPr>
              <w:jc w:val="both"/>
              <w:rPr>
                <w:rFonts w:ascii="Calibri" w:hAnsi="Calibri" w:cs="Calibri"/>
                <w:color w:val="000000"/>
                <w:sz w:val="22"/>
                <w:szCs w:val="22"/>
              </w:rPr>
            </w:pPr>
          </w:p>
        </w:tc>
        <w:tc>
          <w:tcPr>
            <w:tcW w:w="5245" w:type="dxa"/>
          </w:tcPr>
          <w:p w14:paraId="28B49198" w14:textId="77777777" w:rsidR="00FF26D3" w:rsidRPr="00005C6E" w:rsidRDefault="00FF26D3" w:rsidP="00005C6E">
            <w:pPr>
              <w:jc w:val="both"/>
              <w:rPr>
                <w:rFonts w:ascii="Calibri" w:hAnsi="Calibri" w:cs="Calibri"/>
                <w:color w:val="000000"/>
                <w:sz w:val="22"/>
                <w:szCs w:val="22"/>
              </w:rPr>
            </w:pPr>
          </w:p>
        </w:tc>
        <w:tc>
          <w:tcPr>
            <w:tcW w:w="5532" w:type="dxa"/>
          </w:tcPr>
          <w:p w14:paraId="32424511" w14:textId="77777777" w:rsidR="00FF26D3" w:rsidRPr="00005C6E" w:rsidRDefault="00FF26D3" w:rsidP="00005C6E">
            <w:pPr>
              <w:jc w:val="both"/>
              <w:rPr>
                <w:rFonts w:ascii="Calibri" w:hAnsi="Calibri" w:cs="Calibri"/>
                <w:color w:val="000000"/>
                <w:sz w:val="22"/>
                <w:szCs w:val="22"/>
              </w:rPr>
            </w:pPr>
          </w:p>
        </w:tc>
      </w:tr>
      <w:tr w:rsidR="00FF26D3" w:rsidRPr="0056460E" w14:paraId="60D2B6E7" w14:textId="77777777" w:rsidTr="007632B3">
        <w:trPr>
          <w:trHeight w:val="862"/>
        </w:trPr>
        <w:tc>
          <w:tcPr>
            <w:tcW w:w="5104" w:type="dxa"/>
          </w:tcPr>
          <w:p w14:paraId="23C69498" w14:textId="77777777" w:rsidR="00DE5B41" w:rsidRPr="00DE5B41" w:rsidRDefault="00DE5B41" w:rsidP="00DE5B41">
            <w:pPr>
              <w:jc w:val="both"/>
              <w:rPr>
                <w:rFonts w:ascii="Calibri" w:hAnsi="Calibri" w:cs="Calibri"/>
                <w:color w:val="000000"/>
                <w:sz w:val="22"/>
                <w:szCs w:val="22"/>
              </w:rPr>
            </w:pPr>
            <w:r w:rsidRPr="00DE5B41">
              <w:rPr>
                <w:rFonts w:ascii="Calibri" w:hAnsi="Calibri" w:cs="Calibri"/>
                <w:color w:val="000000"/>
                <w:sz w:val="22"/>
                <w:szCs w:val="22"/>
              </w:rPr>
              <w:t>“Art. 72.  O PRS ou o PRC, conforme o caso, deverá conter prazos e metas bem definidos e indicações precisas sobre os procedimentos a serem adotados com vistas a regularização da situação, contemplando os seguintes elementos mínimos:</w:t>
            </w:r>
          </w:p>
          <w:p w14:paraId="143F4F7B" w14:textId="77777777" w:rsidR="00DE5B41" w:rsidRPr="00DE5B41" w:rsidRDefault="00DE5B41" w:rsidP="00DE5B41">
            <w:pPr>
              <w:jc w:val="both"/>
              <w:rPr>
                <w:rFonts w:ascii="Calibri" w:hAnsi="Calibri" w:cs="Calibri"/>
                <w:color w:val="000000"/>
                <w:sz w:val="22"/>
                <w:szCs w:val="22"/>
              </w:rPr>
            </w:pPr>
          </w:p>
          <w:p w14:paraId="5BD8E75E" w14:textId="77777777" w:rsidR="00DE5B41" w:rsidRPr="00DE5B41" w:rsidRDefault="00DE5B41" w:rsidP="00DE5B41">
            <w:pPr>
              <w:jc w:val="both"/>
              <w:rPr>
                <w:rFonts w:ascii="Calibri" w:hAnsi="Calibri" w:cs="Calibri"/>
                <w:color w:val="000000"/>
                <w:sz w:val="22"/>
                <w:szCs w:val="22"/>
              </w:rPr>
            </w:pPr>
            <w:r w:rsidRPr="00DE5B41">
              <w:rPr>
                <w:rFonts w:ascii="Calibri" w:hAnsi="Calibri" w:cs="Calibri"/>
                <w:color w:val="000000"/>
                <w:sz w:val="22"/>
                <w:szCs w:val="22"/>
              </w:rPr>
              <w:t xml:space="preserve">I - </w:t>
            </w:r>
            <w:proofErr w:type="gramStart"/>
            <w:r w:rsidRPr="00DE5B41">
              <w:rPr>
                <w:rFonts w:ascii="Calibri" w:hAnsi="Calibri" w:cs="Calibri"/>
                <w:color w:val="000000"/>
                <w:sz w:val="22"/>
                <w:szCs w:val="22"/>
              </w:rPr>
              <w:t>identificação</w:t>
            </w:r>
            <w:proofErr w:type="gramEnd"/>
            <w:r w:rsidRPr="00DE5B41">
              <w:rPr>
                <w:rFonts w:ascii="Calibri" w:hAnsi="Calibri" w:cs="Calibri"/>
                <w:color w:val="000000"/>
                <w:sz w:val="22"/>
                <w:szCs w:val="22"/>
              </w:rPr>
              <w:t xml:space="preserve"> dos fatores que contribuíram para a insuficiência ou para o não cumprimento do requisito de qualidade de cobertura do CMR, conforme o caso;</w:t>
            </w:r>
          </w:p>
          <w:p w14:paraId="0BE0B280" w14:textId="03240D60" w:rsidR="00DE5B41" w:rsidRPr="00DE5B41" w:rsidRDefault="00DE5B41" w:rsidP="00DE5B41">
            <w:pPr>
              <w:jc w:val="both"/>
              <w:rPr>
                <w:rFonts w:ascii="Calibri" w:hAnsi="Calibri" w:cs="Calibri"/>
                <w:color w:val="000000"/>
                <w:sz w:val="22"/>
                <w:szCs w:val="22"/>
              </w:rPr>
            </w:pPr>
            <w:r w:rsidRPr="00DE5B41">
              <w:rPr>
                <w:rFonts w:ascii="Calibri" w:hAnsi="Calibri" w:cs="Calibri"/>
                <w:color w:val="000000"/>
                <w:sz w:val="22"/>
                <w:szCs w:val="22"/>
              </w:rPr>
              <w:t>........................................................................................</w:t>
            </w:r>
          </w:p>
          <w:p w14:paraId="462C8EAC" w14:textId="77777777" w:rsidR="00DE5B41" w:rsidRPr="00DE5B41" w:rsidRDefault="00DE5B41" w:rsidP="00DE5B41">
            <w:pPr>
              <w:jc w:val="both"/>
              <w:rPr>
                <w:rFonts w:ascii="Calibri" w:hAnsi="Calibri" w:cs="Calibri"/>
                <w:color w:val="000000"/>
                <w:sz w:val="22"/>
                <w:szCs w:val="22"/>
              </w:rPr>
            </w:pPr>
          </w:p>
          <w:p w14:paraId="366A42D6" w14:textId="77777777" w:rsidR="00DE5B41" w:rsidRPr="00DE5B41" w:rsidRDefault="00DE5B41" w:rsidP="00DE5B41">
            <w:pPr>
              <w:jc w:val="both"/>
              <w:rPr>
                <w:rFonts w:ascii="Calibri" w:hAnsi="Calibri" w:cs="Calibri"/>
                <w:color w:val="000000"/>
                <w:sz w:val="22"/>
                <w:szCs w:val="22"/>
              </w:rPr>
            </w:pPr>
            <w:r w:rsidRPr="00DE5B41">
              <w:rPr>
                <w:rFonts w:ascii="Calibri" w:hAnsi="Calibri" w:cs="Calibri"/>
                <w:color w:val="000000"/>
                <w:sz w:val="22"/>
                <w:szCs w:val="22"/>
              </w:rPr>
              <w:t xml:space="preserve">§ 1º O prazo máximo para o saneamento da insuficiência de PLA ou para o cumprimento do requisito da qualidade de cobertura do CMR será de 18 (dezoito) meses, contados a partir do mês subsequente à data do recebimento da comunicação prevista no </w:t>
            </w:r>
            <w:r w:rsidRPr="001E1E9D">
              <w:rPr>
                <w:rFonts w:ascii="Calibri" w:hAnsi="Calibri" w:cs="Calibri"/>
                <w:b/>
                <w:color w:val="000000"/>
                <w:sz w:val="22"/>
                <w:szCs w:val="22"/>
              </w:rPr>
              <w:t>caput</w:t>
            </w:r>
            <w:r w:rsidRPr="00DE5B41">
              <w:rPr>
                <w:rFonts w:ascii="Calibri" w:hAnsi="Calibri" w:cs="Calibri"/>
                <w:color w:val="000000"/>
                <w:sz w:val="22"/>
                <w:szCs w:val="22"/>
              </w:rPr>
              <w:t xml:space="preserve"> do art. 71.</w:t>
            </w:r>
          </w:p>
          <w:p w14:paraId="2592EA3B" w14:textId="77777777" w:rsidR="00DE5B41" w:rsidRPr="00DE5B41" w:rsidRDefault="00DE5B41" w:rsidP="00DE5B41">
            <w:pPr>
              <w:jc w:val="both"/>
              <w:rPr>
                <w:rFonts w:ascii="Calibri" w:hAnsi="Calibri" w:cs="Calibri"/>
                <w:color w:val="000000"/>
                <w:sz w:val="22"/>
                <w:szCs w:val="22"/>
              </w:rPr>
            </w:pPr>
          </w:p>
          <w:p w14:paraId="10308EC9" w14:textId="77777777" w:rsidR="00DE5B41" w:rsidRPr="00DE5B41" w:rsidRDefault="00DE5B41" w:rsidP="00DE5B41">
            <w:pPr>
              <w:jc w:val="both"/>
              <w:rPr>
                <w:rFonts w:ascii="Calibri" w:hAnsi="Calibri" w:cs="Calibri"/>
                <w:color w:val="000000"/>
                <w:sz w:val="22"/>
                <w:szCs w:val="22"/>
              </w:rPr>
            </w:pPr>
            <w:r w:rsidRPr="00DE5B41">
              <w:rPr>
                <w:rFonts w:ascii="Calibri" w:hAnsi="Calibri" w:cs="Calibri"/>
                <w:color w:val="000000"/>
                <w:sz w:val="22"/>
                <w:szCs w:val="22"/>
              </w:rPr>
              <w:t xml:space="preserve">§ 2º O prazo máximo para o saneamento da insuficiência de cobertura de provisões técnicas será de 3 (três) meses, contados a partir do mês subsequente à data do recebimento da comunicação prevista no </w:t>
            </w:r>
            <w:r w:rsidRPr="001E1E9D">
              <w:rPr>
                <w:rFonts w:ascii="Calibri" w:hAnsi="Calibri" w:cs="Calibri"/>
                <w:b/>
                <w:color w:val="000000"/>
                <w:sz w:val="22"/>
                <w:szCs w:val="22"/>
              </w:rPr>
              <w:t>caput</w:t>
            </w:r>
            <w:r w:rsidRPr="00DE5B41">
              <w:rPr>
                <w:rFonts w:ascii="Calibri" w:hAnsi="Calibri" w:cs="Calibri"/>
                <w:color w:val="000000"/>
                <w:sz w:val="22"/>
                <w:szCs w:val="22"/>
              </w:rPr>
              <w:t xml:space="preserve"> do art. 71.</w:t>
            </w:r>
          </w:p>
          <w:p w14:paraId="57B28C15" w14:textId="1921DEF0" w:rsidR="00DE5B41" w:rsidRPr="00DE5B41" w:rsidRDefault="00DE5B41" w:rsidP="00DE5B41">
            <w:pPr>
              <w:jc w:val="both"/>
              <w:rPr>
                <w:rFonts w:ascii="Calibri" w:hAnsi="Calibri" w:cs="Calibri"/>
                <w:color w:val="000000"/>
                <w:sz w:val="22"/>
                <w:szCs w:val="22"/>
              </w:rPr>
            </w:pPr>
            <w:r w:rsidRPr="00DE5B41">
              <w:rPr>
                <w:rFonts w:ascii="Calibri" w:hAnsi="Calibri" w:cs="Calibri"/>
                <w:color w:val="000000"/>
                <w:sz w:val="22"/>
                <w:szCs w:val="22"/>
              </w:rPr>
              <w:t>........................................................................................</w:t>
            </w:r>
          </w:p>
          <w:p w14:paraId="77B4D938" w14:textId="77777777" w:rsidR="00DE5B41" w:rsidRPr="00DE5B41" w:rsidRDefault="00DE5B41" w:rsidP="00DE5B41">
            <w:pPr>
              <w:jc w:val="both"/>
              <w:rPr>
                <w:rFonts w:ascii="Calibri" w:hAnsi="Calibri" w:cs="Calibri"/>
                <w:color w:val="000000"/>
                <w:sz w:val="22"/>
                <w:szCs w:val="22"/>
              </w:rPr>
            </w:pPr>
          </w:p>
          <w:p w14:paraId="43726678" w14:textId="77777777" w:rsidR="00FF26D3" w:rsidRDefault="00DE5B41" w:rsidP="00DE5B41">
            <w:pPr>
              <w:jc w:val="both"/>
              <w:rPr>
                <w:rFonts w:ascii="Calibri" w:hAnsi="Calibri" w:cs="Calibri"/>
                <w:color w:val="000000"/>
                <w:sz w:val="22"/>
                <w:szCs w:val="22"/>
              </w:rPr>
            </w:pPr>
            <w:r w:rsidRPr="00DE5B41">
              <w:rPr>
                <w:rFonts w:ascii="Calibri" w:hAnsi="Calibri" w:cs="Calibri"/>
                <w:color w:val="000000"/>
                <w:sz w:val="22"/>
                <w:szCs w:val="22"/>
              </w:rPr>
              <w:t xml:space="preserve">§ 4° O PRS e o PRC deverão, adicionalmente, atender a instruções complementares que sejam estabelecidas pela Susep, em regulamentação específica ou no comunicado previsto no </w:t>
            </w:r>
            <w:r w:rsidRPr="001E1E9D">
              <w:rPr>
                <w:rFonts w:ascii="Calibri" w:hAnsi="Calibri" w:cs="Calibri"/>
                <w:b/>
                <w:color w:val="000000"/>
                <w:sz w:val="22"/>
                <w:szCs w:val="22"/>
              </w:rPr>
              <w:t>caput</w:t>
            </w:r>
            <w:r w:rsidRPr="00DE5B41">
              <w:rPr>
                <w:rFonts w:ascii="Calibri" w:hAnsi="Calibri" w:cs="Calibri"/>
                <w:color w:val="000000"/>
                <w:sz w:val="22"/>
                <w:szCs w:val="22"/>
              </w:rPr>
              <w:t xml:space="preserve"> do art. 71." (NR)</w:t>
            </w:r>
          </w:p>
          <w:p w14:paraId="0353E01F" w14:textId="6FFE2025" w:rsidR="00DE5B41" w:rsidRPr="00FF26D3" w:rsidRDefault="00DE5B41" w:rsidP="00DE5B41">
            <w:pPr>
              <w:jc w:val="both"/>
              <w:rPr>
                <w:rFonts w:ascii="Calibri" w:hAnsi="Calibri" w:cs="Calibri"/>
                <w:color w:val="000000"/>
                <w:sz w:val="22"/>
                <w:szCs w:val="22"/>
              </w:rPr>
            </w:pPr>
          </w:p>
        </w:tc>
        <w:tc>
          <w:tcPr>
            <w:tcW w:w="5245" w:type="dxa"/>
          </w:tcPr>
          <w:p w14:paraId="43C9C553" w14:textId="77777777" w:rsidR="00FF26D3" w:rsidRPr="00005C6E" w:rsidRDefault="00FF26D3" w:rsidP="00005C6E">
            <w:pPr>
              <w:jc w:val="both"/>
              <w:rPr>
                <w:rFonts w:ascii="Calibri" w:hAnsi="Calibri" w:cs="Calibri"/>
                <w:color w:val="000000"/>
                <w:sz w:val="22"/>
                <w:szCs w:val="22"/>
              </w:rPr>
            </w:pPr>
          </w:p>
        </w:tc>
        <w:tc>
          <w:tcPr>
            <w:tcW w:w="5532" w:type="dxa"/>
          </w:tcPr>
          <w:p w14:paraId="2EA3E69C" w14:textId="77777777" w:rsidR="00FF26D3" w:rsidRPr="00005C6E" w:rsidRDefault="00FF26D3" w:rsidP="00005C6E">
            <w:pPr>
              <w:jc w:val="both"/>
              <w:rPr>
                <w:rFonts w:ascii="Calibri" w:hAnsi="Calibri" w:cs="Calibri"/>
                <w:color w:val="000000"/>
                <w:sz w:val="22"/>
                <w:szCs w:val="22"/>
              </w:rPr>
            </w:pPr>
          </w:p>
        </w:tc>
      </w:tr>
      <w:tr w:rsidR="00FF26D3" w:rsidRPr="0056460E" w14:paraId="2C3A3018" w14:textId="77777777" w:rsidTr="007632B3">
        <w:trPr>
          <w:trHeight w:val="862"/>
        </w:trPr>
        <w:tc>
          <w:tcPr>
            <w:tcW w:w="5104" w:type="dxa"/>
          </w:tcPr>
          <w:p w14:paraId="4299B2D4" w14:textId="77777777" w:rsidR="00DE5B41" w:rsidRPr="00DE5B41" w:rsidRDefault="00DE5B41" w:rsidP="00DE5B41">
            <w:pPr>
              <w:jc w:val="both"/>
              <w:rPr>
                <w:rFonts w:ascii="Calibri" w:hAnsi="Calibri" w:cs="Calibri"/>
                <w:color w:val="000000"/>
                <w:sz w:val="22"/>
                <w:szCs w:val="22"/>
              </w:rPr>
            </w:pPr>
            <w:r w:rsidRPr="00DE5B41">
              <w:rPr>
                <w:rFonts w:ascii="Calibri" w:hAnsi="Calibri" w:cs="Calibri"/>
                <w:color w:val="000000"/>
                <w:sz w:val="22"/>
                <w:szCs w:val="22"/>
              </w:rPr>
              <w:t xml:space="preserve">"Art. 73. O PRS sujeitar-se-á à deliberação da diretoria da Susep responsável pela supervisão </w:t>
            </w:r>
            <w:proofErr w:type="gramStart"/>
            <w:r w:rsidRPr="00DE5B41">
              <w:rPr>
                <w:rFonts w:ascii="Calibri" w:hAnsi="Calibri" w:cs="Calibri"/>
                <w:color w:val="000000"/>
                <w:sz w:val="22"/>
                <w:szCs w:val="22"/>
              </w:rPr>
              <w:t>prudencial .</w:t>
            </w:r>
            <w:proofErr w:type="gramEnd"/>
          </w:p>
          <w:p w14:paraId="285E68B8" w14:textId="614823CB" w:rsidR="00DE5B41" w:rsidRPr="00DE5B41" w:rsidRDefault="00DE5B41" w:rsidP="00DE5B41">
            <w:pPr>
              <w:jc w:val="both"/>
              <w:rPr>
                <w:rFonts w:ascii="Calibri" w:hAnsi="Calibri" w:cs="Calibri"/>
                <w:color w:val="000000"/>
                <w:sz w:val="22"/>
                <w:szCs w:val="22"/>
              </w:rPr>
            </w:pPr>
            <w:r w:rsidRPr="00DE5B41">
              <w:rPr>
                <w:rFonts w:ascii="Calibri" w:hAnsi="Calibri" w:cs="Calibri"/>
                <w:color w:val="000000"/>
                <w:sz w:val="22"/>
                <w:szCs w:val="22"/>
              </w:rPr>
              <w:t>........................................................</w:t>
            </w:r>
            <w:r>
              <w:rPr>
                <w:rFonts w:ascii="Calibri" w:hAnsi="Calibri" w:cs="Calibri"/>
                <w:color w:val="000000"/>
                <w:sz w:val="22"/>
                <w:szCs w:val="22"/>
              </w:rPr>
              <w:t>.....................</w:t>
            </w:r>
            <w:r w:rsidRPr="00DE5B41">
              <w:rPr>
                <w:rFonts w:ascii="Calibri" w:hAnsi="Calibri" w:cs="Calibri"/>
                <w:color w:val="000000"/>
                <w:sz w:val="22"/>
                <w:szCs w:val="22"/>
              </w:rPr>
              <w:t>" (NR)</w:t>
            </w:r>
          </w:p>
          <w:p w14:paraId="48E420C0" w14:textId="77777777" w:rsidR="00DE5B41" w:rsidRPr="00DE5B41" w:rsidRDefault="00DE5B41" w:rsidP="00DE5B41">
            <w:pPr>
              <w:jc w:val="both"/>
              <w:rPr>
                <w:rFonts w:ascii="Calibri" w:hAnsi="Calibri" w:cs="Calibri"/>
                <w:color w:val="000000"/>
                <w:sz w:val="22"/>
                <w:szCs w:val="22"/>
              </w:rPr>
            </w:pPr>
          </w:p>
          <w:p w14:paraId="7F5102EE" w14:textId="77777777" w:rsidR="00FF26D3" w:rsidRPr="00FF26D3" w:rsidRDefault="00FF26D3" w:rsidP="00FF26D3">
            <w:pPr>
              <w:jc w:val="both"/>
              <w:rPr>
                <w:rFonts w:ascii="Calibri" w:hAnsi="Calibri" w:cs="Calibri"/>
                <w:color w:val="000000"/>
                <w:sz w:val="22"/>
                <w:szCs w:val="22"/>
              </w:rPr>
            </w:pPr>
          </w:p>
        </w:tc>
        <w:tc>
          <w:tcPr>
            <w:tcW w:w="5245" w:type="dxa"/>
          </w:tcPr>
          <w:p w14:paraId="61EA5F44" w14:textId="77777777" w:rsidR="00FF26D3" w:rsidRPr="00005C6E" w:rsidRDefault="00FF26D3" w:rsidP="00005C6E">
            <w:pPr>
              <w:jc w:val="both"/>
              <w:rPr>
                <w:rFonts w:ascii="Calibri" w:hAnsi="Calibri" w:cs="Calibri"/>
                <w:color w:val="000000"/>
                <w:sz w:val="22"/>
                <w:szCs w:val="22"/>
              </w:rPr>
            </w:pPr>
          </w:p>
        </w:tc>
        <w:tc>
          <w:tcPr>
            <w:tcW w:w="5532" w:type="dxa"/>
          </w:tcPr>
          <w:p w14:paraId="7755A8D0" w14:textId="77777777" w:rsidR="00FF26D3" w:rsidRPr="00005C6E" w:rsidRDefault="00FF26D3" w:rsidP="00005C6E">
            <w:pPr>
              <w:jc w:val="both"/>
              <w:rPr>
                <w:rFonts w:ascii="Calibri" w:hAnsi="Calibri" w:cs="Calibri"/>
                <w:color w:val="000000"/>
                <w:sz w:val="22"/>
                <w:szCs w:val="22"/>
              </w:rPr>
            </w:pPr>
          </w:p>
        </w:tc>
      </w:tr>
      <w:tr w:rsidR="00FF26D3" w:rsidRPr="0056460E" w14:paraId="4ED94F8F" w14:textId="77777777" w:rsidTr="007632B3">
        <w:trPr>
          <w:trHeight w:val="862"/>
        </w:trPr>
        <w:tc>
          <w:tcPr>
            <w:tcW w:w="5104" w:type="dxa"/>
          </w:tcPr>
          <w:p w14:paraId="3204BED4" w14:textId="77777777" w:rsidR="00DE5B41" w:rsidRPr="00DE5B41" w:rsidRDefault="00DE5B41" w:rsidP="00DE5B41">
            <w:pPr>
              <w:jc w:val="both"/>
              <w:rPr>
                <w:rFonts w:ascii="Calibri" w:hAnsi="Calibri" w:cs="Calibri"/>
                <w:color w:val="000000"/>
                <w:sz w:val="22"/>
                <w:szCs w:val="22"/>
              </w:rPr>
            </w:pPr>
            <w:r w:rsidRPr="00DE5B41">
              <w:rPr>
                <w:rFonts w:ascii="Calibri" w:hAnsi="Calibri" w:cs="Calibri"/>
                <w:color w:val="000000"/>
                <w:sz w:val="22"/>
                <w:szCs w:val="22"/>
              </w:rPr>
              <w:t>“Art. 73-A.  O PRC sujeitar-se-á à diretoria responsável pela supervisão prudencial da Susep.</w:t>
            </w:r>
          </w:p>
          <w:p w14:paraId="7B19884E" w14:textId="77777777" w:rsidR="00DE5B41" w:rsidRPr="00DE5B41" w:rsidRDefault="00DE5B41" w:rsidP="00DE5B41">
            <w:pPr>
              <w:jc w:val="both"/>
              <w:rPr>
                <w:rFonts w:ascii="Calibri" w:hAnsi="Calibri" w:cs="Calibri"/>
                <w:color w:val="000000"/>
                <w:sz w:val="22"/>
                <w:szCs w:val="22"/>
              </w:rPr>
            </w:pPr>
          </w:p>
          <w:p w14:paraId="1D8F0882" w14:textId="77777777" w:rsidR="00DE5B41" w:rsidRPr="00DE5B41" w:rsidRDefault="00DE5B41" w:rsidP="00DE5B41">
            <w:pPr>
              <w:jc w:val="both"/>
              <w:rPr>
                <w:rFonts w:ascii="Calibri" w:hAnsi="Calibri" w:cs="Calibri"/>
                <w:color w:val="000000"/>
                <w:sz w:val="22"/>
                <w:szCs w:val="22"/>
              </w:rPr>
            </w:pPr>
            <w:r w:rsidRPr="00DE5B41">
              <w:rPr>
                <w:rFonts w:ascii="Calibri" w:hAnsi="Calibri" w:cs="Calibri"/>
                <w:color w:val="000000"/>
                <w:sz w:val="22"/>
                <w:szCs w:val="22"/>
              </w:rPr>
              <w:lastRenderedPageBreak/>
              <w:t xml:space="preserve">§ 1º A deliberação de que trata o </w:t>
            </w:r>
            <w:r w:rsidRPr="001E1E9D">
              <w:rPr>
                <w:rFonts w:ascii="Calibri" w:hAnsi="Calibri" w:cs="Calibri"/>
                <w:b/>
                <w:color w:val="000000"/>
                <w:sz w:val="22"/>
                <w:szCs w:val="22"/>
              </w:rPr>
              <w:t>caput</w:t>
            </w:r>
            <w:r w:rsidRPr="00DE5B41">
              <w:rPr>
                <w:rFonts w:ascii="Calibri" w:hAnsi="Calibri" w:cs="Calibri"/>
                <w:color w:val="000000"/>
                <w:sz w:val="22"/>
                <w:szCs w:val="22"/>
              </w:rPr>
              <w:t xml:space="preserve"> resultará em sua aprovação ou rejeição, devendo ser notificada pela coordenação-geral competente e, no caso de rejeição, confirmada pelo Conselho Diretor da Susep.</w:t>
            </w:r>
          </w:p>
          <w:p w14:paraId="1346138F" w14:textId="77777777" w:rsidR="00DE5B41" w:rsidRPr="00DE5B41" w:rsidRDefault="00DE5B41" w:rsidP="00DE5B41">
            <w:pPr>
              <w:jc w:val="both"/>
              <w:rPr>
                <w:rFonts w:ascii="Calibri" w:hAnsi="Calibri" w:cs="Calibri"/>
                <w:color w:val="000000"/>
                <w:sz w:val="22"/>
                <w:szCs w:val="22"/>
              </w:rPr>
            </w:pPr>
          </w:p>
          <w:p w14:paraId="135DE4CC" w14:textId="77777777" w:rsidR="00FF26D3" w:rsidRDefault="00DE5B41" w:rsidP="00DE5B41">
            <w:pPr>
              <w:jc w:val="both"/>
              <w:rPr>
                <w:rFonts w:ascii="Calibri" w:hAnsi="Calibri" w:cs="Calibri"/>
                <w:color w:val="000000"/>
                <w:sz w:val="22"/>
                <w:szCs w:val="22"/>
              </w:rPr>
            </w:pPr>
            <w:r w:rsidRPr="00DE5B41">
              <w:rPr>
                <w:rFonts w:ascii="Calibri" w:hAnsi="Calibri" w:cs="Calibri"/>
                <w:color w:val="000000"/>
                <w:sz w:val="22"/>
                <w:szCs w:val="22"/>
              </w:rPr>
              <w:t>§ 2º Na hipótese de rejeição do plano, a Susep, adicionalmente, informará os motivos que ensejaram sua decisão, devendo a supervisionada, por uma única vez, no prazo máximo de 30 (trinta) dias contados da data do recebimento da notificação, apresentar novo PRC." (NR)</w:t>
            </w:r>
          </w:p>
          <w:p w14:paraId="22FBD50A" w14:textId="02690E80" w:rsidR="00DE5B41" w:rsidRPr="00FF26D3" w:rsidRDefault="00DE5B41" w:rsidP="00DE5B41">
            <w:pPr>
              <w:jc w:val="both"/>
              <w:rPr>
                <w:rFonts w:ascii="Calibri" w:hAnsi="Calibri" w:cs="Calibri"/>
                <w:color w:val="000000"/>
                <w:sz w:val="22"/>
                <w:szCs w:val="22"/>
              </w:rPr>
            </w:pPr>
          </w:p>
        </w:tc>
        <w:tc>
          <w:tcPr>
            <w:tcW w:w="5245" w:type="dxa"/>
          </w:tcPr>
          <w:p w14:paraId="3228B1C8" w14:textId="77777777" w:rsidR="00FF26D3" w:rsidRPr="00005C6E" w:rsidRDefault="00FF26D3" w:rsidP="00005C6E">
            <w:pPr>
              <w:jc w:val="both"/>
              <w:rPr>
                <w:rFonts w:ascii="Calibri" w:hAnsi="Calibri" w:cs="Calibri"/>
                <w:color w:val="000000"/>
                <w:sz w:val="22"/>
                <w:szCs w:val="22"/>
              </w:rPr>
            </w:pPr>
          </w:p>
        </w:tc>
        <w:tc>
          <w:tcPr>
            <w:tcW w:w="5532" w:type="dxa"/>
          </w:tcPr>
          <w:p w14:paraId="5E3914A1" w14:textId="77777777" w:rsidR="00FF26D3" w:rsidRPr="00005C6E" w:rsidRDefault="00FF26D3" w:rsidP="00005C6E">
            <w:pPr>
              <w:jc w:val="both"/>
              <w:rPr>
                <w:rFonts w:ascii="Calibri" w:hAnsi="Calibri" w:cs="Calibri"/>
                <w:color w:val="000000"/>
                <w:sz w:val="22"/>
                <w:szCs w:val="22"/>
              </w:rPr>
            </w:pPr>
          </w:p>
        </w:tc>
      </w:tr>
      <w:tr w:rsidR="00FF26D3" w:rsidRPr="0056460E" w14:paraId="5E97C0DC" w14:textId="77777777" w:rsidTr="007632B3">
        <w:trPr>
          <w:trHeight w:val="862"/>
        </w:trPr>
        <w:tc>
          <w:tcPr>
            <w:tcW w:w="5104" w:type="dxa"/>
          </w:tcPr>
          <w:p w14:paraId="06F9FDAD" w14:textId="77777777" w:rsidR="00DE5B41" w:rsidRPr="00DE5B41" w:rsidRDefault="00DE5B41" w:rsidP="00DE5B41">
            <w:pPr>
              <w:jc w:val="both"/>
              <w:rPr>
                <w:rFonts w:ascii="Calibri" w:hAnsi="Calibri" w:cs="Calibri"/>
                <w:color w:val="000000"/>
                <w:sz w:val="22"/>
                <w:szCs w:val="22"/>
              </w:rPr>
            </w:pPr>
            <w:r w:rsidRPr="00DE5B41">
              <w:rPr>
                <w:rFonts w:ascii="Calibri" w:hAnsi="Calibri" w:cs="Calibri"/>
                <w:color w:val="000000"/>
                <w:sz w:val="22"/>
                <w:szCs w:val="22"/>
              </w:rPr>
              <w:t>“Art. 73-B.  As ações propostas no PRS ou no PRC, desde que não impliquem em descumprimento de legislação ou regulamentação vigente, deverão ser adotadas pela supervisionada antes mesmo da manifestação da Susep sobre a aprovação ou rejeição do plano.” (NR)</w:t>
            </w:r>
          </w:p>
          <w:p w14:paraId="30C59326" w14:textId="77777777" w:rsidR="00FF26D3" w:rsidRPr="00FF26D3" w:rsidRDefault="00FF26D3" w:rsidP="00FF26D3">
            <w:pPr>
              <w:jc w:val="both"/>
              <w:rPr>
                <w:rFonts w:ascii="Calibri" w:hAnsi="Calibri" w:cs="Calibri"/>
                <w:color w:val="000000"/>
                <w:sz w:val="22"/>
                <w:szCs w:val="22"/>
              </w:rPr>
            </w:pPr>
          </w:p>
        </w:tc>
        <w:tc>
          <w:tcPr>
            <w:tcW w:w="5245" w:type="dxa"/>
          </w:tcPr>
          <w:p w14:paraId="26AAED8D" w14:textId="77777777" w:rsidR="00FF26D3" w:rsidRPr="00005C6E" w:rsidRDefault="00FF26D3" w:rsidP="00005C6E">
            <w:pPr>
              <w:jc w:val="both"/>
              <w:rPr>
                <w:rFonts w:ascii="Calibri" w:hAnsi="Calibri" w:cs="Calibri"/>
                <w:color w:val="000000"/>
                <w:sz w:val="22"/>
                <w:szCs w:val="22"/>
              </w:rPr>
            </w:pPr>
          </w:p>
        </w:tc>
        <w:tc>
          <w:tcPr>
            <w:tcW w:w="5532" w:type="dxa"/>
          </w:tcPr>
          <w:p w14:paraId="0667FE69" w14:textId="77777777" w:rsidR="00FF26D3" w:rsidRPr="00005C6E" w:rsidRDefault="00FF26D3" w:rsidP="00005C6E">
            <w:pPr>
              <w:jc w:val="both"/>
              <w:rPr>
                <w:rFonts w:ascii="Calibri" w:hAnsi="Calibri" w:cs="Calibri"/>
                <w:color w:val="000000"/>
                <w:sz w:val="22"/>
                <w:szCs w:val="22"/>
              </w:rPr>
            </w:pPr>
          </w:p>
        </w:tc>
      </w:tr>
      <w:tr w:rsidR="00DE5B41" w:rsidRPr="0056460E" w14:paraId="5CDBB477" w14:textId="77777777" w:rsidTr="007632B3">
        <w:trPr>
          <w:trHeight w:val="862"/>
        </w:trPr>
        <w:tc>
          <w:tcPr>
            <w:tcW w:w="5104" w:type="dxa"/>
          </w:tcPr>
          <w:p w14:paraId="2BAEC8F3" w14:textId="77777777" w:rsidR="00DE5B41" w:rsidRPr="00DE5B41" w:rsidRDefault="00DE5B41" w:rsidP="00DE5B41">
            <w:pPr>
              <w:jc w:val="both"/>
              <w:rPr>
                <w:rFonts w:ascii="Calibri" w:hAnsi="Calibri" w:cs="Calibri"/>
                <w:color w:val="000000"/>
                <w:sz w:val="22"/>
                <w:szCs w:val="22"/>
              </w:rPr>
            </w:pPr>
            <w:r w:rsidRPr="00DE5B41">
              <w:rPr>
                <w:rFonts w:ascii="Calibri" w:hAnsi="Calibri" w:cs="Calibri"/>
                <w:color w:val="000000"/>
                <w:sz w:val="22"/>
                <w:szCs w:val="22"/>
              </w:rPr>
              <w:t>“Art. 74.  Durante a execução do PRS ou do PRC, de forma a subsidiar seu acompanhamento, as supervisionadas ficam obrigadas a enviar à Susep, na periodicidade determinada, os relatórios que a Autarquia julgue necessários.</w:t>
            </w:r>
          </w:p>
          <w:p w14:paraId="6B5FD4BD" w14:textId="77777777" w:rsidR="00DE5B41" w:rsidRPr="00DE5B41" w:rsidRDefault="00DE5B41" w:rsidP="00DE5B41">
            <w:pPr>
              <w:jc w:val="both"/>
              <w:rPr>
                <w:rFonts w:ascii="Calibri" w:hAnsi="Calibri" w:cs="Calibri"/>
                <w:color w:val="000000"/>
                <w:sz w:val="22"/>
                <w:szCs w:val="22"/>
              </w:rPr>
            </w:pPr>
          </w:p>
          <w:p w14:paraId="500808B1" w14:textId="77777777" w:rsidR="00DE5B41" w:rsidRDefault="00DE5B41" w:rsidP="00DE5B41">
            <w:pPr>
              <w:jc w:val="both"/>
              <w:rPr>
                <w:rFonts w:ascii="Calibri" w:hAnsi="Calibri" w:cs="Calibri"/>
                <w:color w:val="000000"/>
                <w:sz w:val="22"/>
                <w:szCs w:val="22"/>
              </w:rPr>
            </w:pPr>
            <w:r w:rsidRPr="00DE5B41">
              <w:rPr>
                <w:rFonts w:ascii="Calibri" w:hAnsi="Calibri" w:cs="Calibri"/>
                <w:color w:val="000000"/>
                <w:sz w:val="22"/>
                <w:szCs w:val="22"/>
              </w:rPr>
              <w:t>Parágrafo único. Sempre que julgar necessário, a Susep poderá solicitar a revisão do PRS ou do PRC, a qual deverá ser aprovada pela diretoria responsável pela supervisão prudencial da Susep." (NR)</w:t>
            </w:r>
          </w:p>
          <w:p w14:paraId="2DA6760B" w14:textId="567134EB" w:rsidR="00DE5B41" w:rsidRPr="00DE5B41" w:rsidRDefault="00DE5B41" w:rsidP="00DE5B41">
            <w:pPr>
              <w:jc w:val="both"/>
              <w:rPr>
                <w:rFonts w:ascii="Calibri" w:hAnsi="Calibri" w:cs="Calibri"/>
                <w:color w:val="000000"/>
                <w:sz w:val="22"/>
                <w:szCs w:val="22"/>
              </w:rPr>
            </w:pPr>
          </w:p>
        </w:tc>
        <w:tc>
          <w:tcPr>
            <w:tcW w:w="5245" w:type="dxa"/>
          </w:tcPr>
          <w:p w14:paraId="660B4BA0" w14:textId="77777777" w:rsidR="00DE5B41" w:rsidRPr="00005C6E" w:rsidRDefault="00DE5B41" w:rsidP="00005C6E">
            <w:pPr>
              <w:jc w:val="both"/>
              <w:rPr>
                <w:rFonts w:ascii="Calibri" w:hAnsi="Calibri" w:cs="Calibri"/>
                <w:color w:val="000000"/>
                <w:sz w:val="22"/>
                <w:szCs w:val="22"/>
              </w:rPr>
            </w:pPr>
          </w:p>
        </w:tc>
        <w:tc>
          <w:tcPr>
            <w:tcW w:w="5532" w:type="dxa"/>
          </w:tcPr>
          <w:p w14:paraId="5A612BD7" w14:textId="77777777" w:rsidR="00DE5B41" w:rsidRPr="00005C6E" w:rsidRDefault="00DE5B41" w:rsidP="00005C6E">
            <w:pPr>
              <w:jc w:val="both"/>
              <w:rPr>
                <w:rFonts w:ascii="Calibri" w:hAnsi="Calibri" w:cs="Calibri"/>
                <w:color w:val="000000"/>
                <w:sz w:val="22"/>
                <w:szCs w:val="22"/>
              </w:rPr>
            </w:pPr>
          </w:p>
        </w:tc>
      </w:tr>
      <w:tr w:rsidR="00DE5B41" w:rsidRPr="0056460E" w14:paraId="49BD6ED9" w14:textId="77777777" w:rsidTr="007632B3">
        <w:trPr>
          <w:trHeight w:val="862"/>
        </w:trPr>
        <w:tc>
          <w:tcPr>
            <w:tcW w:w="5104" w:type="dxa"/>
          </w:tcPr>
          <w:p w14:paraId="239B7F91" w14:textId="77777777" w:rsidR="00DE5B41" w:rsidRDefault="00DF7D13" w:rsidP="00DE5B41">
            <w:pPr>
              <w:jc w:val="both"/>
              <w:rPr>
                <w:rFonts w:ascii="Calibri" w:hAnsi="Calibri" w:cs="Calibri"/>
                <w:color w:val="000000"/>
                <w:sz w:val="22"/>
                <w:szCs w:val="22"/>
              </w:rPr>
            </w:pPr>
            <w:r w:rsidRPr="00DF7D13">
              <w:rPr>
                <w:rFonts w:ascii="Calibri" w:hAnsi="Calibri" w:cs="Calibri"/>
                <w:color w:val="000000"/>
                <w:sz w:val="22"/>
                <w:szCs w:val="22"/>
              </w:rPr>
              <w:t>“Art. 75-A.  Em caso de não apresentação do PRC, seu não cumprimento ou sua rejeição pela segunda vez, a supervisionada estará sujeita à aplicação do regime de direção fiscal. “ (NR)</w:t>
            </w:r>
          </w:p>
          <w:p w14:paraId="52A8ACAF" w14:textId="19711E13" w:rsidR="00DF7D13" w:rsidRPr="00DE5B41" w:rsidRDefault="00DF7D13" w:rsidP="00DE5B41">
            <w:pPr>
              <w:jc w:val="both"/>
              <w:rPr>
                <w:rFonts w:ascii="Calibri" w:hAnsi="Calibri" w:cs="Calibri"/>
                <w:color w:val="000000"/>
                <w:sz w:val="22"/>
                <w:szCs w:val="22"/>
              </w:rPr>
            </w:pPr>
          </w:p>
        </w:tc>
        <w:tc>
          <w:tcPr>
            <w:tcW w:w="5245" w:type="dxa"/>
          </w:tcPr>
          <w:p w14:paraId="2BF5A585" w14:textId="77777777" w:rsidR="00DE5B41" w:rsidRPr="00005C6E" w:rsidRDefault="00DE5B41" w:rsidP="00005C6E">
            <w:pPr>
              <w:jc w:val="both"/>
              <w:rPr>
                <w:rFonts w:ascii="Calibri" w:hAnsi="Calibri" w:cs="Calibri"/>
                <w:color w:val="000000"/>
                <w:sz w:val="22"/>
                <w:szCs w:val="22"/>
              </w:rPr>
            </w:pPr>
          </w:p>
        </w:tc>
        <w:tc>
          <w:tcPr>
            <w:tcW w:w="5532" w:type="dxa"/>
          </w:tcPr>
          <w:p w14:paraId="09DBA108" w14:textId="77777777" w:rsidR="00DE5B41" w:rsidRPr="00005C6E" w:rsidRDefault="00DE5B41" w:rsidP="00005C6E">
            <w:pPr>
              <w:jc w:val="both"/>
              <w:rPr>
                <w:rFonts w:ascii="Calibri" w:hAnsi="Calibri" w:cs="Calibri"/>
                <w:color w:val="000000"/>
                <w:sz w:val="22"/>
                <w:szCs w:val="22"/>
              </w:rPr>
            </w:pPr>
          </w:p>
        </w:tc>
      </w:tr>
      <w:tr w:rsidR="00DE5B41" w:rsidRPr="0056460E" w14:paraId="12432846" w14:textId="77777777" w:rsidTr="007632B3">
        <w:trPr>
          <w:trHeight w:val="862"/>
        </w:trPr>
        <w:tc>
          <w:tcPr>
            <w:tcW w:w="5104" w:type="dxa"/>
          </w:tcPr>
          <w:p w14:paraId="7D0F6635" w14:textId="77777777" w:rsidR="00DF7D13" w:rsidRPr="00DF7D13" w:rsidRDefault="00DF7D13" w:rsidP="00DF7D13">
            <w:pPr>
              <w:jc w:val="both"/>
              <w:rPr>
                <w:rFonts w:ascii="Calibri" w:hAnsi="Calibri" w:cs="Calibri"/>
                <w:color w:val="000000"/>
                <w:sz w:val="22"/>
                <w:szCs w:val="22"/>
              </w:rPr>
            </w:pPr>
            <w:r w:rsidRPr="00DF7D13">
              <w:rPr>
                <w:rFonts w:ascii="Calibri" w:hAnsi="Calibri" w:cs="Calibri"/>
                <w:color w:val="000000"/>
                <w:sz w:val="22"/>
                <w:szCs w:val="22"/>
              </w:rPr>
              <w:t xml:space="preserve">“Art. 75-B.  Deverá haver declaração expressa no PRS ou no PRC, conforme o caso, de que a diretoria e, se houver, o conselho de administração ou o conselho deliberativo estão cientes de que, nas hipóteses previstas nos </w:t>
            </w:r>
            <w:proofErr w:type="spellStart"/>
            <w:r w:rsidRPr="00DF7D13">
              <w:rPr>
                <w:rFonts w:ascii="Calibri" w:hAnsi="Calibri" w:cs="Calibri"/>
                <w:color w:val="000000"/>
                <w:sz w:val="22"/>
                <w:szCs w:val="22"/>
              </w:rPr>
              <w:t>arts</w:t>
            </w:r>
            <w:proofErr w:type="spellEnd"/>
            <w:r w:rsidRPr="00DF7D13">
              <w:rPr>
                <w:rFonts w:ascii="Calibri" w:hAnsi="Calibri" w:cs="Calibri"/>
                <w:color w:val="000000"/>
                <w:sz w:val="22"/>
                <w:szCs w:val="22"/>
              </w:rPr>
              <w:t>. 75 ou 75-C, a supervisionada estará sujeita a regime especial.” (NR)</w:t>
            </w:r>
          </w:p>
          <w:p w14:paraId="4A4FAE28" w14:textId="77777777" w:rsidR="00DE5B41" w:rsidRPr="00DE5B41" w:rsidRDefault="00DE5B41" w:rsidP="00DE5B41">
            <w:pPr>
              <w:jc w:val="both"/>
              <w:rPr>
                <w:rFonts w:ascii="Calibri" w:hAnsi="Calibri" w:cs="Calibri"/>
                <w:color w:val="000000"/>
                <w:sz w:val="22"/>
                <w:szCs w:val="22"/>
              </w:rPr>
            </w:pPr>
          </w:p>
        </w:tc>
        <w:tc>
          <w:tcPr>
            <w:tcW w:w="5245" w:type="dxa"/>
          </w:tcPr>
          <w:p w14:paraId="6DD907B3" w14:textId="77777777" w:rsidR="00DE5B41" w:rsidRPr="00005C6E" w:rsidRDefault="00DE5B41" w:rsidP="00005C6E">
            <w:pPr>
              <w:jc w:val="both"/>
              <w:rPr>
                <w:rFonts w:ascii="Calibri" w:hAnsi="Calibri" w:cs="Calibri"/>
                <w:color w:val="000000"/>
                <w:sz w:val="22"/>
                <w:szCs w:val="22"/>
              </w:rPr>
            </w:pPr>
          </w:p>
        </w:tc>
        <w:tc>
          <w:tcPr>
            <w:tcW w:w="5532" w:type="dxa"/>
          </w:tcPr>
          <w:p w14:paraId="3A094FB2" w14:textId="77777777" w:rsidR="00DE5B41" w:rsidRPr="00005C6E" w:rsidRDefault="00DE5B41" w:rsidP="00005C6E">
            <w:pPr>
              <w:jc w:val="both"/>
              <w:rPr>
                <w:rFonts w:ascii="Calibri" w:hAnsi="Calibri" w:cs="Calibri"/>
                <w:color w:val="000000"/>
                <w:sz w:val="22"/>
                <w:szCs w:val="22"/>
              </w:rPr>
            </w:pPr>
          </w:p>
        </w:tc>
      </w:tr>
      <w:tr w:rsidR="00DE5B41" w:rsidRPr="0056460E" w14:paraId="119D57C1" w14:textId="77777777" w:rsidTr="007632B3">
        <w:trPr>
          <w:trHeight w:val="862"/>
        </w:trPr>
        <w:tc>
          <w:tcPr>
            <w:tcW w:w="5104" w:type="dxa"/>
          </w:tcPr>
          <w:p w14:paraId="2E746894" w14:textId="77777777" w:rsidR="00DE5B41" w:rsidRDefault="00DF7D13" w:rsidP="00DE5B41">
            <w:pPr>
              <w:jc w:val="both"/>
              <w:rPr>
                <w:rFonts w:ascii="Calibri" w:hAnsi="Calibri" w:cs="Calibri"/>
                <w:color w:val="000000"/>
                <w:sz w:val="22"/>
                <w:szCs w:val="22"/>
              </w:rPr>
            </w:pPr>
            <w:r w:rsidRPr="00DF7D13">
              <w:rPr>
                <w:rFonts w:ascii="Calibri" w:hAnsi="Calibri" w:cs="Calibri"/>
                <w:color w:val="000000"/>
                <w:sz w:val="22"/>
                <w:szCs w:val="22"/>
              </w:rPr>
              <w:lastRenderedPageBreak/>
              <w:t>“Art. 76.  O Conselho Diretor da Susep poderá, alternativamente à instauração dos regimes especiais, nos casos estabelecidos neste Capítulo, solicitar o envio à Susep de novo PRS ou PRC, conforme o caso, em função da análise da situação específica da supervisionada.” (NR)</w:t>
            </w:r>
          </w:p>
          <w:p w14:paraId="2977A926" w14:textId="5540B534" w:rsidR="00DF7D13" w:rsidRPr="00DE5B41" w:rsidRDefault="00DF7D13" w:rsidP="00DE5B41">
            <w:pPr>
              <w:jc w:val="both"/>
              <w:rPr>
                <w:rFonts w:ascii="Calibri" w:hAnsi="Calibri" w:cs="Calibri"/>
                <w:color w:val="000000"/>
                <w:sz w:val="22"/>
                <w:szCs w:val="22"/>
              </w:rPr>
            </w:pPr>
          </w:p>
        </w:tc>
        <w:tc>
          <w:tcPr>
            <w:tcW w:w="5245" w:type="dxa"/>
          </w:tcPr>
          <w:p w14:paraId="6EA0D0F2" w14:textId="77777777" w:rsidR="00DE5B41" w:rsidRPr="00005C6E" w:rsidRDefault="00DE5B41" w:rsidP="00005C6E">
            <w:pPr>
              <w:jc w:val="both"/>
              <w:rPr>
                <w:rFonts w:ascii="Calibri" w:hAnsi="Calibri" w:cs="Calibri"/>
                <w:color w:val="000000"/>
                <w:sz w:val="22"/>
                <w:szCs w:val="22"/>
              </w:rPr>
            </w:pPr>
          </w:p>
        </w:tc>
        <w:tc>
          <w:tcPr>
            <w:tcW w:w="5532" w:type="dxa"/>
          </w:tcPr>
          <w:p w14:paraId="2A7CD252" w14:textId="77777777" w:rsidR="00DE5B41" w:rsidRPr="00005C6E" w:rsidRDefault="00DE5B41" w:rsidP="00005C6E">
            <w:pPr>
              <w:jc w:val="both"/>
              <w:rPr>
                <w:rFonts w:ascii="Calibri" w:hAnsi="Calibri" w:cs="Calibri"/>
                <w:color w:val="000000"/>
                <w:sz w:val="22"/>
                <w:szCs w:val="22"/>
              </w:rPr>
            </w:pPr>
          </w:p>
        </w:tc>
      </w:tr>
      <w:tr w:rsidR="00DE5B41" w:rsidRPr="0056460E" w14:paraId="5C4D9D11" w14:textId="77777777" w:rsidTr="007632B3">
        <w:trPr>
          <w:trHeight w:val="862"/>
        </w:trPr>
        <w:tc>
          <w:tcPr>
            <w:tcW w:w="5104" w:type="dxa"/>
          </w:tcPr>
          <w:p w14:paraId="7E4A5B02" w14:textId="77777777" w:rsidR="00DF7D13" w:rsidRPr="00DF7D13" w:rsidRDefault="00DF7D13" w:rsidP="00DF7D13">
            <w:pPr>
              <w:jc w:val="both"/>
              <w:rPr>
                <w:rFonts w:ascii="Calibri" w:hAnsi="Calibri" w:cs="Calibri"/>
                <w:color w:val="000000"/>
                <w:sz w:val="22"/>
                <w:szCs w:val="22"/>
              </w:rPr>
            </w:pPr>
            <w:r w:rsidRPr="00DF7D13">
              <w:rPr>
                <w:rFonts w:ascii="Calibri" w:hAnsi="Calibri" w:cs="Calibri"/>
                <w:color w:val="000000"/>
                <w:sz w:val="22"/>
                <w:szCs w:val="22"/>
              </w:rPr>
              <w:t>“Art. 76-A.  As supervisionadas, quando apresentarem insuficiência de cobertura de provisões técnicas, PLA inferior ao capital mínimo requerido (CMR) ou descumprimento do requisito de qualidade de cobertura do CMR, inclusive na hipótese de serem acarretadas por estes desembolsos, estão vedadas de:</w:t>
            </w:r>
          </w:p>
          <w:p w14:paraId="059264A0" w14:textId="77777777" w:rsidR="00DF7D13" w:rsidRPr="00DF7D13" w:rsidRDefault="00DF7D13" w:rsidP="00DF7D13">
            <w:pPr>
              <w:jc w:val="both"/>
              <w:rPr>
                <w:rFonts w:ascii="Calibri" w:hAnsi="Calibri" w:cs="Calibri"/>
                <w:color w:val="000000"/>
                <w:sz w:val="22"/>
                <w:szCs w:val="22"/>
              </w:rPr>
            </w:pPr>
          </w:p>
          <w:p w14:paraId="5C2AFC34" w14:textId="77777777" w:rsidR="00DF7D13" w:rsidRPr="00DF7D13" w:rsidRDefault="00DF7D13" w:rsidP="00DF7D13">
            <w:pPr>
              <w:jc w:val="both"/>
              <w:rPr>
                <w:rFonts w:ascii="Calibri" w:hAnsi="Calibri" w:cs="Calibri"/>
                <w:color w:val="000000"/>
                <w:sz w:val="22"/>
                <w:szCs w:val="22"/>
              </w:rPr>
            </w:pPr>
            <w:r w:rsidRPr="00DF7D13">
              <w:rPr>
                <w:rFonts w:ascii="Calibri" w:hAnsi="Calibri" w:cs="Calibri"/>
                <w:color w:val="000000"/>
                <w:sz w:val="22"/>
                <w:szCs w:val="22"/>
              </w:rPr>
              <w:t>I -  remunerar o capital próprio, inclusive sob a forma de antecipação, mesmo sob a forma de juros sobre o capital próprio, no caso das supervisionadas constituídas sob a forma de sociedade por ações; e</w:t>
            </w:r>
          </w:p>
          <w:p w14:paraId="781A4BED" w14:textId="77777777" w:rsidR="00DF7D13" w:rsidRPr="00DF7D13" w:rsidRDefault="00DF7D13" w:rsidP="00DF7D13">
            <w:pPr>
              <w:jc w:val="both"/>
              <w:rPr>
                <w:rFonts w:ascii="Calibri" w:hAnsi="Calibri" w:cs="Calibri"/>
                <w:color w:val="000000"/>
                <w:sz w:val="22"/>
                <w:szCs w:val="22"/>
              </w:rPr>
            </w:pPr>
          </w:p>
          <w:p w14:paraId="23DFB8AA" w14:textId="77777777" w:rsidR="00DF7D13" w:rsidRPr="00DF7D13" w:rsidRDefault="00DF7D13" w:rsidP="00DF7D13">
            <w:pPr>
              <w:jc w:val="both"/>
              <w:rPr>
                <w:rFonts w:ascii="Calibri" w:hAnsi="Calibri" w:cs="Calibri"/>
                <w:color w:val="000000"/>
                <w:sz w:val="22"/>
                <w:szCs w:val="22"/>
              </w:rPr>
            </w:pPr>
            <w:r w:rsidRPr="00DF7D13">
              <w:rPr>
                <w:rFonts w:ascii="Calibri" w:hAnsi="Calibri" w:cs="Calibri"/>
                <w:color w:val="000000"/>
                <w:sz w:val="22"/>
                <w:szCs w:val="22"/>
              </w:rPr>
              <w:t xml:space="preserve">II - </w:t>
            </w:r>
            <w:proofErr w:type="gramStart"/>
            <w:r w:rsidRPr="00DF7D13">
              <w:rPr>
                <w:rFonts w:ascii="Calibri" w:hAnsi="Calibri" w:cs="Calibri"/>
                <w:color w:val="000000"/>
                <w:sz w:val="22"/>
                <w:szCs w:val="22"/>
              </w:rPr>
              <w:t>aumentar</w:t>
            </w:r>
            <w:proofErr w:type="gramEnd"/>
            <w:r w:rsidRPr="00DF7D13">
              <w:rPr>
                <w:rFonts w:ascii="Calibri" w:hAnsi="Calibri" w:cs="Calibri"/>
                <w:color w:val="000000"/>
                <w:sz w:val="22"/>
                <w:szCs w:val="22"/>
              </w:rPr>
              <w:t xml:space="preserve"> a remuneração fixa e variável, inclusive sob a forma de antecipação, de diretores, estatutários ou não, e demais membros de órgãos estatutários.</w:t>
            </w:r>
          </w:p>
          <w:p w14:paraId="58BC0515" w14:textId="77777777" w:rsidR="00DF7D13" w:rsidRPr="00DF7D13" w:rsidRDefault="00DF7D13" w:rsidP="00DF7D13">
            <w:pPr>
              <w:jc w:val="both"/>
              <w:rPr>
                <w:rFonts w:ascii="Calibri" w:hAnsi="Calibri" w:cs="Calibri"/>
                <w:color w:val="000000"/>
                <w:sz w:val="22"/>
                <w:szCs w:val="22"/>
              </w:rPr>
            </w:pPr>
          </w:p>
          <w:p w14:paraId="401BE0BA" w14:textId="77777777" w:rsidR="00DF7D13" w:rsidRPr="00DF7D13" w:rsidRDefault="00DF7D13" w:rsidP="00DF7D13">
            <w:pPr>
              <w:jc w:val="both"/>
              <w:rPr>
                <w:rFonts w:ascii="Calibri" w:hAnsi="Calibri" w:cs="Calibri"/>
                <w:color w:val="000000"/>
                <w:sz w:val="22"/>
                <w:szCs w:val="22"/>
              </w:rPr>
            </w:pPr>
            <w:r w:rsidRPr="00DF7D13">
              <w:rPr>
                <w:rFonts w:ascii="Calibri" w:hAnsi="Calibri" w:cs="Calibri"/>
                <w:color w:val="000000"/>
                <w:sz w:val="22"/>
                <w:szCs w:val="22"/>
              </w:rPr>
              <w:t xml:space="preserve">Parágrafo único. A remuneração variável de que trata o inciso II do </w:t>
            </w:r>
            <w:r w:rsidRPr="001E1E9D">
              <w:rPr>
                <w:rFonts w:ascii="Calibri" w:hAnsi="Calibri" w:cs="Calibri"/>
                <w:b/>
                <w:color w:val="000000"/>
                <w:sz w:val="22"/>
                <w:szCs w:val="22"/>
              </w:rPr>
              <w:t>caput</w:t>
            </w:r>
            <w:r w:rsidRPr="00DF7D13">
              <w:rPr>
                <w:rFonts w:ascii="Calibri" w:hAnsi="Calibri" w:cs="Calibri"/>
                <w:color w:val="000000"/>
                <w:sz w:val="22"/>
                <w:szCs w:val="22"/>
              </w:rPr>
              <w:t xml:space="preserve"> inclui bônus, participação nos lucros, bem como quaisquer parcelas de remuneração diferidas e outros incentivos remuneratórios associados ao desempenho.” (NR)</w:t>
            </w:r>
          </w:p>
          <w:p w14:paraId="08892135" w14:textId="77777777" w:rsidR="00DF7D13" w:rsidRPr="00DF7D13" w:rsidRDefault="00DF7D13" w:rsidP="00DF7D13">
            <w:pPr>
              <w:jc w:val="both"/>
              <w:rPr>
                <w:rFonts w:ascii="Calibri" w:hAnsi="Calibri" w:cs="Calibri"/>
                <w:color w:val="000000"/>
                <w:sz w:val="22"/>
                <w:szCs w:val="22"/>
              </w:rPr>
            </w:pPr>
          </w:p>
          <w:p w14:paraId="6620EE64" w14:textId="77777777" w:rsidR="00DE5B41" w:rsidRPr="00DE5B41" w:rsidRDefault="00DE5B41" w:rsidP="00DE5B41">
            <w:pPr>
              <w:jc w:val="both"/>
              <w:rPr>
                <w:rFonts w:ascii="Calibri" w:hAnsi="Calibri" w:cs="Calibri"/>
                <w:color w:val="000000"/>
                <w:sz w:val="22"/>
                <w:szCs w:val="22"/>
              </w:rPr>
            </w:pPr>
          </w:p>
        </w:tc>
        <w:tc>
          <w:tcPr>
            <w:tcW w:w="5245" w:type="dxa"/>
          </w:tcPr>
          <w:p w14:paraId="18665E61" w14:textId="77777777" w:rsidR="00DE5B41" w:rsidRPr="00005C6E" w:rsidRDefault="00DE5B41" w:rsidP="00005C6E">
            <w:pPr>
              <w:jc w:val="both"/>
              <w:rPr>
                <w:rFonts w:ascii="Calibri" w:hAnsi="Calibri" w:cs="Calibri"/>
                <w:color w:val="000000"/>
                <w:sz w:val="22"/>
                <w:szCs w:val="22"/>
              </w:rPr>
            </w:pPr>
          </w:p>
        </w:tc>
        <w:tc>
          <w:tcPr>
            <w:tcW w:w="5532" w:type="dxa"/>
          </w:tcPr>
          <w:p w14:paraId="2A3F5FDE" w14:textId="77777777" w:rsidR="00DE5B41" w:rsidRPr="00005C6E" w:rsidRDefault="00DE5B41" w:rsidP="00005C6E">
            <w:pPr>
              <w:jc w:val="both"/>
              <w:rPr>
                <w:rFonts w:ascii="Calibri" w:hAnsi="Calibri" w:cs="Calibri"/>
                <w:color w:val="000000"/>
                <w:sz w:val="22"/>
                <w:szCs w:val="22"/>
              </w:rPr>
            </w:pPr>
          </w:p>
        </w:tc>
      </w:tr>
      <w:tr w:rsidR="00DE5B41" w:rsidRPr="0056460E" w14:paraId="58072532" w14:textId="77777777" w:rsidTr="007632B3">
        <w:trPr>
          <w:trHeight w:val="862"/>
        </w:trPr>
        <w:tc>
          <w:tcPr>
            <w:tcW w:w="5104" w:type="dxa"/>
          </w:tcPr>
          <w:p w14:paraId="0D1C89DE" w14:textId="2D0D36B7" w:rsidR="00DF7D13" w:rsidRPr="00DF7D13" w:rsidRDefault="00DF7D13" w:rsidP="00DF7D13">
            <w:pPr>
              <w:jc w:val="both"/>
              <w:rPr>
                <w:rFonts w:ascii="Calibri" w:hAnsi="Calibri" w:cs="Calibri"/>
                <w:color w:val="000000"/>
                <w:sz w:val="22"/>
                <w:szCs w:val="22"/>
              </w:rPr>
            </w:pPr>
            <w:r w:rsidRPr="00DF7D13">
              <w:rPr>
                <w:rFonts w:ascii="Calibri" w:hAnsi="Calibri" w:cs="Calibri"/>
                <w:color w:val="000000"/>
                <w:sz w:val="22"/>
                <w:szCs w:val="22"/>
              </w:rPr>
              <w:t>“Art. 111.  ........................................................</w:t>
            </w:r>
            <w:r>
              <w:rPr>
                <w:rFonts w:ascii="Calibri" w:hAnsi="Calibri" w:cs="Calibri"/>
                <w:color w:val="000000"/>
                <w:sz w:val="22"/>
                <w:szCs w:val="22"/>
              </w:rPr>
              <w:t>...............</w:t>
            </w:r>
          </w:p>
          <w:p w14:paraId="606C2E71" w14:textId="6EF8E2BE" w:rsidR="00DF7D13" w:rsidRPr="00DF7D13" w:rsidRDefault="00DF7D13" w:rsidP="00DF7D13">
            <w:pPr>
              <w:jc w:val="both"/>
              <w:rPr>
                <w:rFonts w:ascii="Calibri" w:hAnsi="Calibri" w:cs="Calibri"/>
                <w:color w:val="000000"/>
                <w:sz w:val="22"/>
                <w:szCs w:val="22"/>
              </w:rPr>
            </w:pPr>
            <w:r w:rsidRPr="00DF7D13">
              <w:rPr>
                <w:rFonts w:ascii="Calibri" w:hAnsi="Calibri" w:cs="Calibri"/>
                <w:color w:val="000000"/>
                <w:sz w:val="22"/>
                <w:szCs w:val="22"/>
              </w:rPr>
              <w:t>........................................................................................</w:t>
            </w:r>
          </w:p>
          <w:p w14:paraId="5D1F922D" w14:textId="77777777" w:rsidR="00DE5B41" w:rsidRDefault="00DF7D13" w:rsidP="00DF7D13">
            <w:pPr>
              <w:jc w:val="both"/>
              <w:rPr>
                <w:rFonts w:ascii="Calibri" w:hAnsi="Calibri" w:cs="Calibri"/>
                <w:color w:val="000000"/>
                <w:sz w:val="22"/>
                <w:szCs w:val="22"/>
              </w:rPr>
            </w:pPr>
            <w:r w:rsidRPr="00DF7D13">
              <w:rPr>
                <w:rFonts w:ascii="Calibri" w:hAnsi="Calibri" w:cs="Calibri"/>
                <w:color w:val="000000"/>
                <w:sz w:val="22"/>
                <w:szCs w:val="22"/>
              </w:rPr>
              <w:t>VIII - os ajustes associados à variação dos valores econômicos do PLA.” (NR)</w:t>
            </w:r>
          </w:p>
          <w:p w14:paraId="56BCCDFA" w14:textId="49EF3073" w:rsidR="00DF7D13" w:rsidRPr="00DE5B41" w:rsidRDefault="00DF7D13" w:rsidP="00DF7D13">
            <w:pPr>
              <w:jc w:val="both"/>
              <w:rPr>
                <w:rFonts w:ascii="Calibri" w:hAnsi="Calibri" w:cs="Calibri"/>
                <w:color w:val="000000"/>
                <w:sz w:val="22"/>
                <w:szCs w:val="22"/>
              </w:rPr>
            </w:pPr>
          </w:p>
        </w:tc>
        <w:tc>
          <w:tcPr>
            <w:tcW w:w="5245" w:type="dxa"/>
          </w:tcPr>
          <w:p w14:paraId="2436D640" w14:textId="77777777" w:rsidR="00DE5B41" w:rsidRPr="00005C6E" w:rsidRDefault="00DE5B41" w:rsidP="00005C6E">
            <w:pPr>
              <w:jc w:val="both"/>
              <w:rPr>
                <w:rFonts w:ascii="Calibri" w:hAnsi="Calibri" w:cs="Calibri"/>
                <w:color w:val="000000"/>
                <w:sz w:val="22"/>
                <w:szCs w:val="22"/>
              </w:rPr>
            </w:pPr>
          </w:p>
        </w:tc>
        <w:tc>
          <w:tcPr>
            <w:tcW w:w="5532" w:type="dxa"/>
          </w:tcPr>
          <w:p w14:paraId="66C61456" w14:textId="77777777" w:rsidR="00DE5B41" w:rsidRPr="00005C6E" w:rsidRDefault="00DE5B41" w:rsidP="00005C6E">
            <w:pPr>
              <w:jc w:val="both"/>
              <w:rPr>
                <w:rFonts w:ascii="Calibri" w:hAnsi="Calibri" w:cs="Calibri"/>
                <w:color w:val="000000"/>
                <w:sz w:val="22"/>
                <w:szCs w:val="22"/>
              </w:rPr>
            </w:pPr>
          </w:p>
        </w:tc>
      </w:tr>
      <w:tr w:rsidR="00DE5B41" w:rsidRPr="0056460E" w14:paraId="7D7AB435" w14:textId="77777777" w:rsidTr="007632B3">
        <w:trPr>
          <w:trHeight w:val="862"/>
        </w:trPr>
        <w:tc>
          <w:tcPr>
            <w:tcW w:w="5104" w:type="dxa"/>
          </w:tcPr>
          <w:p w14:paraId="5A2668E9" w14:textId="331F8120" w:rsidR="00DF7D13" w:rsidRPr="00DF7D13" w:rsidRDefault="00DF7D13" w:rsidP="00DF7D13">
            <w:pPr>
              <w:jc w:val="both"/>
              <w:rPr>
                <w:rFonts w:ascii="Calibri" w:hAnsi="Calibri" w:cs="Calibri"/>
                <w:color w:val="000000"/>
                <w:sz w:val="22"/>
                <w:szCs w:val="22"/>
              </w:rPr>
            </w:pPr>
            <w:r w:rsidRPr="00DF7D13">
              <w:rPr>
                <w:rFonts w:ascii="Calibri" w:hAnsi="Calibri" w:cs="Calibri"/>
                <w:color w:val="000000"/>
                <w:sz w:val="22"/>
                <w:szCs w:val="22"/>
              </w:rPr>
              <w:t>“Art. 112.  ....................................................</w:t>
            </w:r>
            <w:r>
              <w:rPr>
                <w:rFonts w:ascii="Calibri" w:hAnsi="Calibri" w:cs="Calibri"/>
                <w:color w:val="000000"/>
                <w:sz w:val="22"/>
                <w:szCs w:val="22"/>
              </w:rPr>
              <w:t>...................</w:t>
            </w:r>
          </w:p>
          <w:p w14:paraId="4D8CC233" w14:textId="307B2962" w:rsidR="00DF7D13" w:rsidRPr="00DF7D13" w:rsidRDefault="00DF7D13" w:rsidP="00DF7D13">
            <w:pPr>
              <w:jc w:val="both"/>
              <w:rPr>
                <w:rFonts w:ascii="Calibri" w:hAnsi="Calibri" w:cs="Calibri"/>
                <w:color w:val="000000"/>
                <w:sz w:val="22"/>
                <w:szCs w:val="22"/>
              </w:rPr>
            </w:pPr>
            <w:r w:rsidRPr="00DF7D13">
              <w:rPr>
                <w:rFonts w:ascii="Calibri" w:hAnsi="Calibri" w:cs="Calibri"/>
                <w:color w:val="000000"/>
                <w:sz w:val="22"/>
                <w:szCs w:val="22"/>
              </w:rPr>
              <w:t>.......................................................................................</w:t>
            </w:r>
            <w:r>
              <w:rPr>
                <w:rFonts w:ascii="Calibri" w:hAnsi="Calibri" w:cs="Calibri"/>
                <w:color w:val="000000"/>
                <w:sz w:val="22"/>
                <w:szCs w:val="22"/>
              </w:rPr>
              <w:t>.</w:t>
            </w:r>
          </w:p>
          <w:p w14:paraId="2C030DCC" w14:textId="77777777" w:rsidR="00DF7D13" w:rsidRPr="00DF7D13" w:rsidRDefault="00DF7D13" w:rsidP="00DF7D13">
            <w:pPr>
              <w:jc w:val="both"/>
              <w:rPr>
                <w:rFonts w:ascii="Calibri" w:hAnsi="Calibri" w:cs="Calibri"/>
                <w:color w:val="000000"/>
                <w:sz w:val="22"/>
                <w:szCs w:val="22"/>
              </w:rPr>
            </w:pPr>
          </w:p>
          <w:p w14:paraId="6F7123D8" w14:textId="6D299D3B" w:rsidR="00DF7D13" w:rsidRPr="00DE5B41" w:rsidRDefault="00DF7D13" w:rsidP="00DF7D13">
            <w:pPr>
              <w:jc w:val="both"/>
              <w:rPr>
                <w:rFonts w:ascii="Calibri" w:hAnsi="Calibri" w:cs="Calibri"/>
                <w:color w:val="000000"/>
                <w:sz w:val="22"/>
                <w:szCs w:val="22"/>
              </w:rPr>
            </w:pPr>
            <w:r w:rsidRPr="00DF7D13">
              <w:rPr>
                <w:rFonts w:ascii="Calibri" w:hAnsi="Calibri" w:cs="Calibri"/>
                <w:color w:val="000000"/>
                <w:sz w:val="22"/>
                <w:szCs w:val="22"/>
              </w:rPr>
              <w:t xml:space="preserve">V - </w:t>
            </w:r>
            <w:proofErr w:type="gramStart"/>
            <w:r w:rsidRPr="00DF7D13">
              <w:rPr>
                <w:rFonts w:ascii="Calibri" w:hAnsi="Calibri" w:cs="Calibri"/>
                <w:color w:val="000000"/>
                <w:sz w:val="22"/>
                <w:szCs w:val="22"/>
              </w:rPr>
              <w:t>avaliação</w:t>
            </w:r>
            <w:proofErr w:type="gramEnd"/>
            <w:r w:rsidRPr="00DF7D13">
              <w:rPr>
                <w:rFonts w:ascii="Calibri" w:hAnsi="Calibri" w:cs="Calibri"/>
                <w:color w:val="000000"/>
                <w:sz w:val="22"/>
                <w:szCs w:val="22"/>
              </w:rPr>
              <w:t xml:space="preserve"> conclusiva a respeito dos ajustes associados à variação dos valores econômicos do PLA. (NR)</w:t>
            </w:r>
          </w:p>
        </w:tc>
        <w:tc>
          <w:tcPr>
            <w:tcW w:w="5245" w:type="dxa"/>
          </w:tcPr>
          <w:p w14:paraId="62791A17" w14:textId="77777777" w:rsidR="00DE5B41" w:rsidRPr="00005C6E" w:rsidRDefault="00DE5B41" w:rsidP="00005C6E">
            <w:pPr>
              <w:jc w:val="both"/>
              <w:rPr>
                <w:rFonts w:ascii="Calibri" w:hAnsi="Calibri" w:cs="Calibri"/>
                <w:color w:val="000000"/>
                <w:sz w:val="22"/>
                <w:szCs w:val="22"/>
              </w:rPr>
            </w:pPr>
          </w:p>
        </w:tc>
        <w:tc>
          <w:tcPr>
            <w:tcW w:w="5532" w:type="dxa"/>
          </w:tcPr>
          <w:p w14:paraId="5AEAD1AD" w14:textId="77777777" w:rsidR="00DE5B41" w:rsidRPr="00005C6E" w:rsidRDefault="00DE5B41" w:rsidP="00005C6E">
            <w:pPr>
              <w:jc w:val="both"/>
              <w:rPr>
                <w:rFonts w:ascii="Calibri" w:hAnsi="Calibri" w:cs="Calibri"/>
                <w:color w:val="000000"/>
                <w:sz w:val="22"/>
                <w:szCs w:val="22"/>
              </w:rPr>
            </w:pPr>
          </w:p>
        </w:tc>
      </w:tr>
      <w:tr w:rsidR="00DE5B41" w:rsidRPr="0056460E" w14:paraId="60483849" w14:textId="77777777" w:rsidTr="007632B3">
        <w:trPr>
          <w:trHeight w:val="862"/>
        </w:trPr>
        <w:tc>
          <w:tcPr>
            <w:tcW w:w="5104" w:type="dxa"/>
          </w:tcPr>
          <w:p w14:paraId="2924C52B" w14:textId="77777777" w:rsidR="00DE5B41" w:rsidRDefault="00DF7D13" w:rsidP="00DE5B41">
            <w:pPr>
              <w:jc w:val="both"/>
              <w:rPr>
                <w:rFonts w:ascii="Calibri" w:hAnsi="Calibri" w:cs="Calibri"/>
                <w:color w:val="000000"/>
                <w:sz w:val="22"/>
                <w:szCs w:val="22"/>
              </w:rPr>
            </w:pPr>
            <w:r>
              <w:rPr>
                <w:rFonts w:ascii="Calibri" w:hAnsi="Calibri" w:cs="Calibri"/>
                <w:color w:val="000000"/>
                <w:sz w:val="22"/>
                <w:szCs w:val="22"/>
              </w:rPr>
              <w:lastRenderedPageBreak/>
              <w:t>Art. 2º Ficam revogados a alínea "o" do inciso I e o § 6° do art. 64, o art. 64-A, os incisos IV, V e VII do </w:t>
            </w:r>
            <w:r>
              <w:rPr>
                <w:rStyle w:val="Forte"/>
                <w:rFonts w:ascii="Calibri" w:hAnsi="Calibri" w:cs="Calibri"/>
                <w:color w:val="000000"/>
                <w:sz w:val="22"/>
                <w:szCs w:val="22"/>
              </w:rPr>
              <w:t>caput</w:t>
            </w:r>
            <w:r>
              <w:rPr>
                <w:rFonts w:ascii="Calibri" w:hAnsi="Calibri" w:cs="Calibri"/>
                <w:color w:val="000000"/>
                <w:sz w:val="22"/>
                <w:szCs w:val="22"/>
              </w:rPr>
              <w:t> do art. 65, o parágrafo único do art. 66, o art. 67-A e o art. 70 da Resolução CNSP nº 321, de 15 de dezembro de 2015.</w:t>
            </w:r>
          </w:p>
          <w:p w14:paraId="5A791EDC" w14:textId="0B612713" w:rsidR="00DF7D13" w:rsidRPr="00DE5B41" w:rsidRDefault="00DF7D13" w:rsidP="00DE5B41">
            <w:pPr>
              <w:jc w:val="both"/>
              <w:rPr>
                <w:rFonts w:ascii="Calibri" w:hAnsi="Calibri" w:cs="Calibri"/>
                <w:color w:val="000000"/>
                <w:sz w:val="22"/>
                <w:szCs w:val="22"/>
              </w:rPr>
            </w:pPr>
          </w:p>
        </w:tc>
        <w:tc>
          <w:tcPr>
            <w:tcW w:w="5245" w:type="dxa"/>
          </w:tcPr>
          <w:p w14:paraId="73A1B37D" w14:textId="77777777" w:rsidR="00DE5B41" w:rsidRPr="00005C6E" w:rsidRDefault="00DE5B41" w:rsidP="00005C6E">
            <w:pPr>
              <w:jc w:val="both"/>
              <w:rPr>
                <w:rFonts w:ascii="Calibri" w:hAnsi="Calibri" w:cs="Calibri"/>
                <w:color w:val="000000"/>
                <w:sz w:val="22"/>
                <w:szCs w:val="22"/>
              </w:rPr>
            </w:pPr>
          </w:p>
        </w:tc>
        <w:tc>
          <w:tcPr>
            <w:tcW w:w="5532" w:type="dxa"/>
          </w:tcPr>
          <w:p w14:paraId="1D6FACE3" w14:textId="77777777" w:rsidR="00DE5B41" w:rsidRPr="00005C6E" w:rsidRDefault="00DE5B41" w:rsidP="00005C6E">
            <w:pPr>
              <w:jc w:val="both"/>
              <w:rPr>
                <w:rFonts w:ascii="Calibri" w:hAnsi="Calibri" w:cs="Calibri"/>
                <w:color w:val="000000"/>
                <w:sz w:val="22"/>
                <w:szCs w:val="22"/>
              </w:rPr>
            </w:pPr>
          </w:p>
        </w:tc>
      </w:tr>
      <w:tr w:rsidR="00DF7D13" w:rsidRPr="0056460E" w14:paraId="2FD57F56" w14:textId="77777777" w:rsidTr="007632B3">
        <w:trPr>
          <w:trHeight w:val="862"/>
        </w:trPr>
        <w:tc>
          <w:tcPr>
            <w:tcW w:w="5104" w:type="dxa"/>
          </w:tcPr>
          <w:p w14:paraId="7550EEC9" w14:textId="3262DB7E" w:rsidR="00DF7D13" w:rsidRDefault="00DF7D13" w:rsidP="00DE5B41">
            <w:pPr>
              <w:jc w:val="both"/>
              <w:rPr>
                <w:rFonts w:ascii="Calibri" w:hAnsi="Calibri" w:cs="Calibri"/>
                <w:color w:val="000000"/>
                <w:sz w:val="22"/>
                <w:szCs w:val="22"/>
              </w:rPr>
            </w:pPr>
            <w:r>
              <w:rPr>
                <w:rFonts w:ascii="Calibri" w:hAnsi="Calibri" w:cs="Calibri"/>
                <w:color w:val="000000"/>
                <w:sz w:val="22"/>
                <w:szCs w:val="22"/>
              </w:rPr>
              <w:t>Art. 3º Esta Resolução entra em vigor em 4 de janeiro de 2021.</w:t>
            </w:r>
          </w:p>
        </w:tc>
        <w:tc>
          <w:tcPr>
            <w:tcW w:w="5245" w:type="dxa"/>
          </w:tcPr>
          <w:p w14:paraId="3CE584E3" w14:textId="77777777" w:rsidR="00DF7D13" w:rsidRPr="00005C6E" w:rsidRDefault="00DF7D13" w:rsidP="00005C6E">
            <w:pPr>
              <w:jc w:val="both"/>
              <w:rPr>
                <w:rFonts w:ascii="Calibri" w:hAnsi="Calibri" w:cs="Calibri"/>
                <w:color w:val="000000"/>
                <w:sz w:val="22"/>
                <w:szCs w:val="22"/>
              </w:rPr>
            </w:pPr>
          </w:p>
        </w:tc>
        <w:tc>
          <w:tcPr>
            <w:tcW w:w="5532" w:type="dxa"/>
          </w:tcPr>
          <w:p w14:paraId="4C27D9A5" w14:textId="77777777" w:rsidR="00DF7D13" w:rsidRPr="00005C6E" w:rsidRDefault="00DF7D13" w:rsidP="00005C6E">
            <w:pPr>
              <w:jc w:val="both"/>
              <w:rPr>
                <w:rFonts w:ascii="Calibri" w:hAnsi="Calibri" w:cs="Calibri"/>
                <w:color w:val="000000"/>
                <w:sz w:val="22"/>
                <w:szCs w:val="22"/>
              </w:rPr>
            </w:pPr>
          </w:p>
        </w:tc>
      </w:tr>
    </w:tbl>
    <w:p w14:paraId="422D815E" w14:textId="77777777" w:rsidR="00A7007A" w:rsidRPr="00481601" w:rsidRDefault="00A7007A" w:rsidP="00F77AE4">
      <w:pPr>
        <w:pStyle w:val="NormalWeb"/>
        <w:spacing w:before="0" w:beforeAutospacing="0" w:after="0" w:afterAutospacing="0"/>
        <w:jc w:val="both"/>
        <w:rPr>
          <w:color w:val="FF0000"/>
        </w:rPr>
      </w:pPr>
    </w:p>
    <w:sectPr w:rsidR="00A7007A" w:rsidRPr="00481601" w:rsidSect="00760BE5">
      <w:pgSz w:w="16838" w:h="11906" w:orient="landscape"/>
      <w:pgMar w:top="142"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1014E"/>
    <w:multiLevelType w:val="hybridMultilevel"/>
    <w:tmpl w:val="65365418"/>
    <w:lvl w:ilvl="0" w:tplc="505A0642">
      <w:start w:val="1"/>
      <w:numFmt w:val="decimal"/>
      <w:lvlText w:val="%1."/>
      <w:lvlJc w:val="left"/>
      <w:pPr>
        <w:ind w:left="1571" w:hanging="360"/>
      </w:pPr>
      <w:rPr>
        <w:rFonts w:hint="default"/>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 w15:restartNumberingAfterBreak="0">
    <w:nsid w:val="1D086A9C"/>
    <w:multiLevelType w:val="hybridMultilevel"/>
    <w:tmpl w:val="D0F6FE8C"/>
    <w:lvl w:ilvl="0" w:tplc="EB84AF7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2532245A"/>
    <w:multiLevelType w:val="hybridMultilevel"/>
    <w:tmpl w:val="D0F6FE8C"/>
    <w:lvl w:ilvl="0" w:tplc="EB84AF7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2A263254"/>
    <w:multiLevelType w:val="hybridMultilevel"/>
    <w:tmpl w:val="E93C3332"/>
    <w:lvl w:ilvl="0" w:tplc="1E283DE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2DD73CF2"/>
    <w:multiLevelType w:val="hybridMultilevel"/>
    <w:tmpl w:val="8D58E50C"/>
    <w:lvl w:ilvl="0" w:tplc="C9846C7E">
      <w:start w:val="1"/>
      <w:numFmt w:val="lowerLetter"/>
      <w:lvlText w:val="%1)"/>
      <w:lvlJc w:val="left"/>
      <w:pPr>
        <w:ind w:left="2492" w:hanging="360"/>
      </w:pPr>
      <w:rPr>
        <w:rFonts w:hint="default"/>
      </w:rPr>
    </w:lvl>
    <w:lvl w:ilvl="1" w:tplc="04160019" w:tentative="1">
      <w:start w:val="1"/>
      <w:numFmt w:val="lowerLetter"/>
      <w:lvlText w:val="%2."/>
      <w:lvlJc w:val="left"/>
      <w:pPr>
        <w:ind w:left="3212" w:hanging="360"/>
      </w:pPr>
    </w:lvl>
    <w:lvl w:ilvl="2" w:tplc="0416001B" w:tentative="1">
      <w:start w:val="1"/>
      <w:numFmt w:val="lowerRoman"/>
      <w:lvlText w:val="%3."/>
      <w:lvlJc w:val="right"/>
      <w:pPr>
        <w:ind w:left="3932" w:hanging="180"/>
      </w:pPr>
    </w:lvl>
    <w:lvl w:ilvl="3" w:tplc="0416000F" w:tentative="1">
      <w:start w:val="1"/>
      <w:numFmt w:val="decimal"/>
      <w:lvlText w:val="%4."/>
      <w:lvlJc w:val="left"/>
      <w:pPr>
        <w:ind w:left="4652" w:hanging="360"/>
      </w:pPr>
    </w:lvl>
    <w:lvl w:ilvl="4" w:tplc="04160019" w:tentative="1">
      <w:start w:val="1"/>
      <w:numFmt w:val="lowerLetter"/>
      <w:lvlText w:val="%5."/>
      <w:lvlJc w:val="left"/>
      <w:pPr>
        <w:ind w:left="5372" w:hanging="360"/>
      </w:pPr>
    </w:lvl>
    <w:lvl w:ilvl="5" w:tplc="0416001B" w:tentative="1">
      <w:start w:val="1"/>
      <w:numFmt w:val="lowerRoman"/>
      <w:lvlText w:val="%6."/>
      <w:lvlJc w:val="right"/>
      <w:pPr>
        <w:ind w:left="6092" w:hanging="180"/>
      </w:pPr>
    </w:lvl>
    <w:lvl w:ilvl="6" w:tplc="0416000F" w:tentative="1">
      <w:start w:val="1"/>
      <w:numFmt w:val="decimal"/>
      <w:lvlText w:val="%7."/>
      <w:lvlJc w:val="left"/>
      <w:pPr>
        <w:ind w:left="6812" w:hanging="360"/>
      </w:pPr>
    </w:lvl>
    <w:lvl w:ilvl="7" w:tplc="04160019" w:tentative="1">
      <w:start w:val="1"/>
      <w:numFmt w:val="lowerLetter"/>
      <w:lvlText w:val="%8."/>
      <w:lvlJc w:val="left"/>
      <w:pPr>
        <w:ind w:left="7532" w:hanging="360"/>
      </w:pPr>
    </w:lvl>
    <w:lvl w:ilvl="8" w:tplc="0416001B" w:tentative="1">
      <w:start w:val="1"/>
      <w:numFmt w:val="lowerRoman"/>
      <w:lvlText w:val="%9."/>
      <w:lvlJc w:val="right"/>
      <w:pPr>
        <w:ind w:left="8252" w:hanging="180"/>
      </w:pPr>
    </w:lvl>
  </w:abstractNum>
  <w:abstractNum w:abstractNumId="5" w15:restartNumberingAfterBreak="0">
    <w:nsid w:val="41AE6FFF"/>
    <w:multiLevelType w:val="hybridMultilevel"/>
    <w:tmpl w:val="D0F6FE8C"/>
    <w:lvl w:ilvl="0" w:tplc="EB84AF7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447B57EE"/>
    <w:multiLevelType w:val="hybridMultilevel"/>
    <w:tmpl w:val="DE284A28"/>
    <w:lvl w:ilvl="0" w:tplc="C0A055F4">
      <w:start w:val="1"/>
      <w:numFmt w:val="decimal"/>
      <w:lvlText w:val="%1."/>
      <w:lvlJc w:val="left"/>
      <w:pPr>
        <w:ind w:left="1571" w:hanging="360"/>
      </w:pPr>
      <w:rPr>
        <w:rFonts w:hint="default"/>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 w15:restartNumberingAfterBreak="0">
    <w:nsid w:val="4B913B2E"/>
    <w:multiLevelType w:val="hybridMultilevel"/>
    <w:tmpl w:val="D0F6FE8C"/>
    <w:lvl w:ilvl="0" w:tplc="EB84AF7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15:restartNumberingAfterBreak="0">
    <w:nsid w:val="70315F7F"/>
    <w:multiLevelType w:val="hybridMultilevel"/>
    <w:tmpl w:val="9D00A490"/>
    <w:lvl w:ilvl="0" w:tplc="EE70D9D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9" w15:restartNumberingAfterBreak="0">
    <w:nsid w:val="703459AA"/>
    <w:multiLevelType w:val="hybridMultilevel"/>
    <w:tmpl w:val="C2CEF1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8F5270F"/>
    <w:multiLevelType w:val="hybridMultilevel"/>
    <w:tmpl w:val="61149DC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4"/>
  </w:num>
  <w:num w:numId="5">
    <w:abstractNumId w:val="7"/>
  </w:num>
  <w:num w:numId="6">
    <w:abstractNumId w:val="5"/>
  </w:num>
  <w:num w:numId="7">
    <w:abstractNumId w:val="2"/>
  </w:num>
  <w:num w:numId="8">
    <w:abstractNumId w:val="0"/>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A16"/>
    <w:rsid w:val="00005C6E"/>
    <w:rsid w:val="00006D10"/>
    <w:rsid w:val="0002129F"/>
    <w:rsid w:val="000256CA"/>
    <w:rsid w:val="000300CD"/>
    <w:rsid w:val="00031069"/>
    <w:rsid w:val="00031583"/>
    <w:rsid w:val="00033104"/>
    <w:rsid w:val="00033B9C"/>
    <w:rsid w:val="00036976"/>
    <w:rsid w:val="0004026B"/>
    <w:rsid w:val="000464CA"/>
    <w:rsid w:val="0005290B"/>
    <w:rsid w:val="00060500"/>
    <w:rsid w:val="00061B7B"/>
    <w:rsid w:val="00071376"/>
    <w:rsid w:val="000732E7"/>
    <w:rsid w:val="00074888"/>
    <w:rsid w:val="00081963"/>
    <w:rsid w:val="00082127"/>
    <w:rsid w:val="00084563"/>
    <w:rsid w:val="00084DDA"/>
    <w:rsid w:val="00087B64"/>
    <w:rsid w:val="00090964"/>
    <w:rsid w:val="00096F16"/>
    <w:rsid w:val="000A5509"/>
    <w:rsid w:val="000B0D9E"/>
    <w:rsid w:val="000B3AEC"/>
    <w:rsid w:val="000B3F10"/>
    <w:rsid w:val="000C268E"/>
    <w:rsid w:val="000D49B4"/>
    <w:rsid w:val="000D553D"/>
    <w:rsid w:val="000F2804"/>
    <w:rsid w:val="000F2A10"/>
    <w:rsid w:val="000F51F6"/>
    <w:rsid w:val="0011261B"/>
    <w:rsid w:val="00114AC8"/>
    <w:rsid w:val="001235C6"/>
    <w:rsid w:val="0012556D"/>
    <w:rsid w:val="00130340"/>
    <w:rsid w:val="001309B1"/>
    <w:rsid w:val="00155A64"/>
    <w:rsid w:val="001735BA"/>
    <w:rsid w:val="00176C0C"/>
    <w:rsid w:val="00176EF2"/>
    <w:rsid w:val="001958BB"/>
    <w:rsid w:val="001A1078"/>
    <w:rsid w:val="001A359B"/>
    <w:rsid w:val="001A4D3D"/>
    <w:rsid w:val="001B2C9A"/>
    <w:rsid w:val="001C0325"/>
    <w:rsid w:val="001C1436"/>
    <w:rsid w:val="001C1562"/>
    <w:rsid w:val="001C2185"/>
    <w:rsid w:val="001D59F8"/>
    <w:rsid w:val="001E1E9D"/>
    <w:rsid w:val="001E52F8"/>
    <w:rsid w:val="001F3F27"/>
    <w:rsid w:val="001F462B"/>
    <w:rsid w:val="0020088B"/>
    <w:rsid w:val="00200A4F"/>
    <w:rsid w:val="002033BB"/>
    <w:rsid w:val="0020511C"/>
    <w:rsid w:val="002151A8"/>
    <w:rsid w:val="0021630C"/>
    <w:rsid w:val="00221465"/>
    <w:rsid w:val="00221EBA"/>
    <w:rsid w:val="0023458C"/>
    <w:rsid w:val="00234C03"/>
    <w:rsid w:val="00236603"/>
    <w:rsid w:val="00237EF0"/>
    <w:rsid w:val="00241E80"/>
    <w:rsid w:val="0025607C"/>
    <w:rsid w:val="00257EB8"/>
    <w:rsid w:val="00264BBB"/>
    <w:rsid w:val="00270E63"/>
    <w:rsid w:val="0028103A"/>
    <w:rsid w:val="00286B99"/>
    <w:rsid w:val="0029011E"/>
    <w:rsid w:val="002951F7"/>
    <w:rsid w:val="00295C8F"/>
    <w:rsid w:val="002A1A83"/>
    <w:rsid w:val="002A1D3B"/>
    <w:rsid w:val="002A23FE"/>
    <w:rsid w:val="002C36C2"/>
    <w:rsid w:val="002C5E1B"/>
    <w:rsid w:val="002C7E4B"/>
    <w:rsid w:val="002D36DD"/>
    <w:rsid w:val="002D48E0"/>
    <w:rsid w:val="002D78FE"/>
    <w:rsid w:val="002E2904"/>
    <w:rsid w:val="002E60ED"/>
    <w:rsid w:val="002F0296"/>
    <w:rsid w:val="002F0A0F"/>
    <w:rsid w:val="002F574A"/>
    <w:rsid w:val="002F5974"/>
    <w:rsid w:val="00304575"/>
    <w:rsid w:val="003060BF"/>
    <w:rsid w:val="00306D4B"/>
    <w:rsid w:val="003278DB"/>
    <w:rsid w:val="00353A8F"/>
    <w:rsid w:val="003578FD"/>
    <w:rsid w:val="00367739"/>
    <w:rsid w:val="003678A7"/>
    <w:rsid w:val="00371CF2"/>
    <w:rsid w:val="00372E83"/>
    <w:rsid w:val="00373A48"/>
    <w:rsid w:val="00377F9A"/>
    <w:rsid w:val="00381F81"/>
    <w:rsid w:val="0038272D"/>
    <w:rsid w:val="00396293"/>
    <w:rsid w:val="003A19DD"/>
    <w:rsid w:val="003B34C8"/>
    <w:rsid w:val="003B5988"/>
    <w:rsid w:val="003C3930"/>
    <w:rsid w:val="003C411A"/>
    <w:rsid w:val="003C5860"/>
    <w:rsid w:val="003C6FA8"/>
    <w:rsid w:val="003F0C6B"/>
    <w:rsid w:val="003F3552"/>
    <w:rsid w:val="003F7641"/>
    <w:rsid w:val="00421ED8"/>
    <w:rsid w:val="00434283"/>
    <w:rsid w:val="004343BF"/>
    <w:rsid w:val="00450183"/>
    <w:rsid w:val="0045653D"/>
    <w:rsid w:val="00457DCA"/>
    <w:rsid w:val="0046304B"/>
    <w:rsid w:val="00463E91"/>
    <w:rsid w:val="00475A3D"/>
    <w:rsid w:val="00481601"/>
    <w:rsid w:val="004849C6"/>
    <w:rsid w:val="0048652D"/>
    <w:rsid w:val="004964D8"/>
    <w:rsid w:val="004A083C"/>
    <w:rsid w:val="004B192E"/>
    <w:rsid w:val="004B421D"/>
    <w:rsid w:val="004B453D"/>
    <w:rsid w:val="004C1170"/>
    <w:rsid w:val="004D4B96"/>
    <w:rsid w:val="004E6A69"/>
    <w:rsid w:val="004F381E"/>
    <w:rsid w:val="00502990"/>
    <w:rsid w:val="00520418"/>
    <w:rsid w:val="00523074"/>
    <w:rsid w:val="00523C99"/>
    <w:rsid w:val="005312EF"/>
    <w:rsid w:val="00531382"/>
    <w:rsid w:val="00534D5B"/>
    <w:rsid w:val="00537E04"/>
    <w:rsid w:val="00540B3D"/>
    <w:rsid w:val="005426C5"/>
    <w:rsid w:val="00543802"/>
    <w:rsid w:val="00544071"/>
    <w:rsid w:val="0055163E"/>
    <w:rsid w:val="00552A76"/>
    <w:rsid w:val="0055494E"/>
    <w:rsid w:val="0056460E"/>
    <w:rsid w:val="00567D75"/>
    <w:rsid w:val="00570C75"/>
    <w:rsid w:val="00573B11"/>
    <w:rsid w:val="005779A9"/>
    <w:rsid w:val="0058643D"/>
    <w:rsid w:val="00592D46"/>
    <w:rsid w:val="005968AD"/>
    <w:rsid w:val="005A1F0F"/>
    <w:rsid w:val="005A25E2"/>
    <w:rsid w:val="005A2D0B"/>
    <w:rsid w:val="005A49B3"/>
    <w:rsid w:val="005B127F"/>
    <w:rsid w:val="005B1938"/>
    <w:rsid w:val="005B1FC9"/>
    <w:rsid w:val="005C64A8"/>
    <w:rsid w:val="005D1AC4"/>
    <w:rsid w:val="005D2D98"/>
    <w:rsid w:val="005E0ABA"/>
    <w:rsid w:val="005E19AE"/>
    <w:rsid w:val="005E5CDA"/>
    <w:rsid w:val="005F1C4D"/>
    <w:rsid w:val="005F515A"/>
    <w:rsid w:val="00610D85"/>
    <w:rsid w:val="006114A5"/>
    <w:rsid w:val="00614CA9"/>
    <w:rsid w:val="00624E1B"/>
    <w:rsid w:val="006269F0"/>
    <w:rsid w:val="00627BDD"/>
    <w:rsid w:val="006454B6"/>
    <w:rsid w:val="006457DB"/>
    <w:rsid w:val="00647AB0"/>
    <w:rsid w:val="00651094"/>
    <w:rsid w:val="00657A7B"/>
    <w:rsid w:val="006656F5"/>
    <w:rsid w:val="0066637A"/>
    <w:rsid w:val="006853CE"/>
    <w:rsid w:val="006967CD"/>
    <w:rsid w:val="006B0B15"/>
    <w:rsid w:val="006B0E42"/>
    <w:rsid w:val="006B4E52"/>
    <w:rsid w:val="006C5D2D"/>
    <w:rsid w:val="006C6C0F"/>
    <w:rsid w:val="006D4C16"/>
    <w:rsid w:val="006E2FE8"/>
    <w:rsid w:val="00702AD7"/>
    <w:rsid w:val="00705B45"/>
    <w:rsid w:val="00711066"/>
    <w:rsid w:val="00733242"/>
    <w:rsid w:val="0074419E"/>
    <w:rsid w:val="00746345"/>
    <w:rsid w:val="007512A3"/>
    <w:rsid w:val="007513E6"/>
    <w:rsid w:val="00751A59"/>
    <w:rsid w:val="00755AF1"/>
    <w:rsid w:val="00760AD1"/>
    <w:rsid w:val="00760BE5"/>
    <w:rsid w:val="007632B3"/>
    <w:rsid w:val="00767B97"/>
    <w:rsid w:val="00793F1E"/>
    <w:rsid w:val="007A122B"/>
    <w:rsid w:val="007A450E"/>
    <w:rsid w:val="007A6AE0"/>
    <w:rsid w:val="007B21AA"/>
    <w:rsid w:val="007B37E3"/>
    <w:rsid w:val="007B7AD4"/>
    <w:rsid w:val="007C2CEA"/>
    <w:rsid w:val="007D43DD"/>
    <w:rsid w:val="007F18CE"/>
    <w:rsid w:val="007F7DDA"/>
    <w:rsid w:val="00820FED"/>
    <w:rsid w:val="00826D17"/>
    <w:rsid w:val="0083587F"/>
    <w:rsid w:val="00840B12"/>
    <w:rsid w:val="00850415"/>
    <w:rsid w:val="0085209E"/>
    <w:rsid w:val="00861931"/>
    <w:rsid w:val="00872A16"/>
    <w:rsid w:val="0087552D"/>
    <w:rsid w:val="0087633D"/>
    <w:rsid w:val="00887B6B"/>
    <w:rsid w:val="00890C4A"/>
    <w:rsid w:val="00892CC5"/>
    <w:rsid w:val="008976A1"/>
    <w:rsid w:val="008A40C6"/>
    <w:rsid w:val="008A4D30"/>
    <w:rsid w:val="008B3D0F"/>
    <w:rsid w:val="008B5C3E"/>
    <w:rsid w:val="008B6E30"/>
    <w:rsid w:val="008C48F6"/>
    <w:rsid w:val="008D0933"/>
    <w:rsid w:val="008D23A4"/>
    <w:rsid w:val="008E01B8"/>
    <w:rsid w:val="008E714B"/>
    <w:rsid w:val="008F68E4"/>
    <w:rsid w:val="009118EF"/>
    <w:rsid w:val="0093632E"/>
    <w:rsid w:val="00942665"/>
    <w:rsid w:val="00944FA8"/>
    <w:rsid w:val="00944FB5"/>
    <w:rsid w:val="00946132"/>
    <w:rsid w:val="009523CD"/>
    <w:rsid w:val="00954BD3"/>
    <w:rsid w:val="00983740"/>
    <w:rsid w:val="00994555"/>
    <w:rsid w:val="00996997"/>
    <w:rsid w:val="009A2D25"/>
    <w:rsid w:val="009A5EE7"/>
    <w:rsid w:val="009B3204"/>
    <w:rsid w:val="009B38D5"/>
    <w:rsid w:val="009B7FB6"/>
    <w:rsid w:val="009C10AF"/>
    <w:rsid w:val="009C6797"/>
    <w:rsid w:val="009D4451"/>
    <w:rsid w:val="009E3F57"/>
    <w:rsid w:val="009E617C"/>
    <w:rsid w:val="00A239E5"/>
    <w:rsid w:val="00A2594B"/>
    <w:rsid w:val="00A318CF"/>
    <w:rsid w:val="00A372CC"/>
    <w:rsid w:val="00A47AC2"/>
    <w:rsid w:val="00A60CA7"/>
    <w:rsid w:val="00A63D22"/>
    <w:rsid w:val="00A7007A"/>
    <w:rsid w:val="00A72C6F"/>
    <w:rsid w:val="00A72FEF"/>
    <w:rsid w:val="00A74299"/>
    <w:rsid w:val="00A75039"/>
    <w:rsid w:val="00A92232"/>
    <w:rsid w:val="00A9379E"/>
    <w:rsid w:val="00AA4010"/>
    <w:rsid w:val="00AC18C9"/>
    <w:rsid w:val="00AD0883"/>
    <w:rsid w:val="00AD279E"/>
    <w:rsid w:val="00AD4D16"/>
    <w:rsid w:val="00AD6D7B"/>
    <w:rsid w:val="00B039ED"/>
    <w:rsid w:val="00B045B4"/>
    <w:rsid w:val="00B055B2"/>
    <w:rsid w:val="00B06171"/>
    <w:rsid w:val="00B14612"/>
    <w:rsid w:val="00B165C8"/>
    <w:rsid w:val="00B24BFE"/>
    <w:rsid w:val="00B27C33"/>
    <w:rsid w:val="00B27FFE"/>
    <w:rsid w:val="00B3168F"/>
    <w:rsid w:val="00B32006"/>
    <w:rsid w:val="00B4188E"/>
    <w:rsid w:val="00B57DC1"/>
    <w:rsid w:val="00B61B66"/>
    <w:rsid w:val="00B65686"/>
    <w:rsid w:val="00B96BDE"/>
    <w:rsid w:val="00BA3FF1"/>
    <w:rsid w:val="00BB063C"/>
    <w:rsid w:val="00BB10F7"/>
    <w:rsid w:val="00BB15DB"/>
    <w:rsid w:val="00BB1661"/>
    <w:rsid w:val="00BB2E89"/>
    <w:rsid w:val="00BB4B28"/>
    <w:rsid w:val="00BB508D"/>
    <w:rsid w:val="00BC71AF"/>
    <w:rsid w:val="00BD40BB"/>
    <w:rsid w:val="00BD468E"/>
    <w:rsid w:val="00BD642F"/>
    <w:rsid w:val="00BD7D32"/>
    <w:rsid w:val="00BE392B"/>
    <w:rsid w:val="00BE3D11"/>
    <w:rsid w:val="00BE78B6"/>
    <w:rsid w:val="00BF0910"/>
    <w:rsid w:val="00BF64A4"/>
    <w:rsid w:val="00C00721"/>
    <w:rsid w:val="00C0139F"/>
    <w:rsid w:val="00C03395"/>
    <w:rsid w:val="00C03BF8"/>
    <w:rsid w:val="00C11B4F"/>
    <w:rsid w:val="00C20106"/>
    <w:rsid w:val="00C223BA"/>
    <w:rsid w:val="00C30199"/>
    <w:rsid w:val="00C4773A"/>
    <w:rsid w:val="00C633C6"/>
    <w:rsid w:val="00C72866"/>
    <w:rsid w:val="00C84C99"/>
    <w:rsid w:val="00C90384"/>
    <w:rsid w:val="00CA4BB7"/>
    <w:rsid w:val="00CB746E"/>
    <w:rsid w:val="00CD6D92"/>
    <w:rsid w:val="00CE46BD"/>
    <w:rsid w:val="00CE613B"/>
    <w:rsid w:val="00CF2F80"/>
    <w:rsid w:val="00CF5911"/>
    <w:rsid w:val="00CF714B"/>
    <w:rsid w:val="00D02007"/>
    <w:rsid w:val="00D0590B"/>
    <w:rsid w:val="00D1046B"/>
    <w:rsid w:val="00D127A7"/>
    <w:rsid w:val="00D163C8"/>
    <w:rsid w:val="00D171E2"/>
    <w:rsid w:val="00D25D1F"/>
    <w:rsid w:val="00D34117"/>
    <w:rsid w:val="00D34FDA"/>
    <w:rsid w:val="00D56ED5"/>
    <w:rsid w:val="00D572F3"/>
    <w:rsid w:val="00D57C38"/>
    <w:rsid w:val="00D6041A"/>
    <w:rsid w:val="00D6588E"/>
    <w:rsid w:val="00D712E6"/>
    <w:rsid w:val="00D743A2"/>
    <w:rsid w:val="00D75B60"/>
    <w:rsid w:val="00D835EB"/>
    <w:rsid w:val="00D84C8F"/>
    <w:rsid w:val="00D8678C"/>
    <w:rsid w:val="00D9152B"/>
    <w:rsid w:val="00D96093"/>
    <w:rsid w:val="00DA26FF"/>
    <w:rsid w:val="00DA47BA"/>
    <w:rsid w:val="00DB174C"/>
    <w:rsid w:val="00DB242F"/>
    <w:rsid w:val="00DB4A2E"/>
    <w:rsid w:val="00DC43EA"/>
    <w:rsid w:val="00DD09F8"/>
    <w:rsid w:val="00DD5984"/>
    <w:rsid w:val="00DD72B5"/>
    <w:rsid w:val="00DD74F7"/>
    <w:rsid w:val="00DE5B41"/>
    <w:rsid w:val="00DF7D13"/>
    <w:rsid w:val="00E324A1"/>
    <w:rsid w:val="00E33914"/>
    <w:rsid w:val="00E448E9"/>
    <w:rsid w:val="00E54364"/>
    <w:rsid w:val="00E554A5"/>
    <w:rsid w:val="00E5726C"/>
    <w:rsid w:val="00E74D68"/>
    <w:rsid w:val="00E82945"/>
    <w:rsid w:val="00E83D62"/>
    <w:rsid w:val="00E8758F"/>
    <w:rsid w:val="00E87FC9"/>
    <w:rsid w:val="00E911C3"/>
    <w:rsid w:val="00EA7A41"/>
    <w:rsid w:val="00EB685D"/>
    <w:rsid w:val="00EC0A5D"/>
    <w:rsid w:val="00ED3294"/>
    <w:rsid w:val="00ED553A"/>
    <w:rsid w:val="00ED75A3"/>
    <w:rsid w:val="00EE1F92"/>
    <w:rsid w:val="00EF2214"/>
    <w:rsid w:val="00EF677E"/>
    <w:rsid w:val="00EF7C16"/>
    <w:rsid w:val="00F00213"/>
    <w:rsid w:val="00F00C2C"/>
    <w:rsid w:val="00F022E6"/>
    <w:rsid w:val="00F0603C"/>
    <w:rsid w:val="00F07548"/>
    <w:rsid w:val="00F107D9"/>
    <w:rsid w:val="00F16A2F"/>
    <w:rsid w:val="00F227C2"/>
    <w:rsid w:val="00F2284F"/>
    <w:rsid w:val="00F242B8"/>
    <w:rsid w:val="00F26CC0"/>
    <w:rsid w:val="00F3297C"/>
    <w:rsid w:val="00F40786"/>
    <w:rsid w:val="00F41EB6"/>
    <w:rsid w:val="00F42318"/>
    <w:rsid w:val="00F442CF"/>
    <w:rsid w:val="00F51F43"/>
    <w:rsid w:val="00F53CE3"/>
    <w:rsid w:val="00F73BEF"/>
    <w:rsid w:val="00F7553C"/>
    <w:rsid w:val="00F77AE4"/>
    <w:rsid w:val="00F8790C"/>
    <w:rsid w:val="00F970C1"/>
    <w:rsid w:val="00F97A00"/>
    <w:rsid w:val="00FA06E1"/>
    <w:rsid w:val="00FA3439"/>
    <w:rsid w:val="00FB32B3"/>
    <w:rsid w:val="00FB5E90"/>
    <w:rsid w:val="00FD3F9D"/>
    <w:rsid w:val="00FD557D"/>
    <w:rsid w:val="00FE0B9F"/>
    <w:rsid w:val="00FE4AA5"/>
    <w:rsid w:val="00FE7363"/>
    <w:rsid w:val="00FF0535"/>
    <w:rsid w:val="00FF26D3"/>
    <w:rsid w:val="00FF4C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F8BF"/>
  <w15:docId w15:val="{1DB39FA5-79EE-4521-9E83-C0E77012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AE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5A25E2"/>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872A16"/>
    <w:pPr>
      <w:ind w:left="1800"/>
      <w:jc w:val="both"/>
    </w:pPr>
    <w:rPr>
      <w:i/>
      <w:sz w:val="24"/>
    </w:rPr>
  </w:style>
  <w:style w:type="character" w:customStyle="1" w:styleId="RecuodecorpodetextoChar">
    <w:name w:val="Recuo de corpo de texto Char"/>
    <w:basedOn w:val="Fontepargpadro"/>
    <w:link w:val="Recuodecorpodetexto"/>
    <w:semiHidden/>
    <w:rsid w:val="00872A16"/>
    <w:rPr>
      <w:rFonts w:ascii="Times New Roman" w:eastAsia="Times New Roman" w:hAnsi="Times New Roman" w:cs="Times New Roman"/>
      <w:i/>
      <w:sz w:val="24"/>
      <w:szCs w:val="20"/>
      <w:lang w:eastAsia="pt-BR"/>
    </w:rPr>
  </w:style>
  <w:style w:type="paragraph" w:styleId="Cabealho">
    <w:name w:val="header"/>
    <w:basedOn w:val="Normal"/>
    <w:link w:val="CabealhoChar"/>
    <w:semiHidden/>
    <w:rsid w:val="00872A16"/>
    <w:pPr>
      <w:tabs>
        <w:tab w:val="center" w:pos="4419"/>
        <w:tab w:val="right" w:pos="8838"/>
      </w:tabs>
    </w:pPr>
    <w:rPr>
      <w:sz w:val="24"/>
      <w:szCs w:val="24"/>
    </w:rPr>
  </w:style>
  <w:style w:type="character" w:customStyle="1" w:styleId="CabealhoChar">
    <w:name w:val="Cabeçalho Char"/>
    <w:basedOn w:val="Fontepargpadro"/>
    <w:link w:val="Cabealho"/>
    <w:semiHidden/>
    <w:rsid w:val="00872A16"/>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872A16"/>
    <w:pPr>
      <w:spacing w:before="100" w:beforeAutospacing="1" w:after="100" w:afterAutospacing="1"/>
    </w:pPr>
    <w:rPr>
      <w:sz w:val="24"/>
      <w:szCs w:val="24"/>
    </w:rPr>
  </w:style>
  <w:style w:type="character" w:styleId="Hyperlink">
    <w:name w:val="Hyperlink"/>
    <w:basedOn w:val="Fontepargpadro"/>
    <w:uiPriority w:val="99"/>
    <w:semiHidden/>
    <w:unhideWhenUsed/>
    <w:rsid w:val="00872A16"/>
    <w:rPr>
      <w:color w:val="0000FF"/>
      <w:u w:val="single"/>
    </w:rPr>
  </w:style>
  <w:style w:type="paragraph" w:customStyle="1" w:styleId="western">
    <w:name w:val="western"/>
    <w:basedOn w:val="Normal"/>
    <w:rsid w:val="006C6C0F"/>
    <w:pPr>
      <w:spacing w:before="100" w:beforeAutospacing="1" w:after="119"/>
    </w:pPr>
    <w:rPr>
      <w:sz w:val="24"/>
      <w:szCs w:val="24"/>
    </w:rPr>
  </w:style>
  <w:style w:type="paragraph" w:styleId="Recuodecorpodetexto3">
    <w:name w:val="Body Text Indent 3"/>
    <w:basedOn w:val="Normal"/>
    <w:link w:val="Recuodecorpodetexto3Char"/>
    <w:uiPriority w:val="99"/>
    <w:unhideWhenUsed/>
    <w:rsid w:val="00061B7B"/>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061B7B"/>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421ED8"/>
    <w:pPr>
      <w:ind w:left="720"/>
      <w:contextualSpacing/>
    </w:pPr>
  </w:style>
  <w:style w:type="paragraph" w:styleId="Textodebalo">
    <w:name w:val="Balloon Text"/>
    <w:basedOn w:val="Normal"/>
    <w:link w:val="TextodebaloChar"/>
    <w:uiPriority w:val="99"/>
    <w:semiHidden/>
    <w:unhideWhenUsed/>
    <w:rsid w:val="000F2A10"/>
    <w:rPr>
      <w:rFonts w:ascii="Segoe UI" w:hAnsi="Segoe UI" w:cs="Segoe UI"/>
      <w:sz w:val="18"/>
      <w:szCs w:val="18"/>
    </w:rPr>
  </w:style>
  <w:style w:type="character" w:customStyle="1" w:styleId="TextodebaloChar">
    <w:name w:val="Texto de balão Char"/>
    <w:basedOn w:val="Fontepargpadro"/>
    <w:link w:val="Textodebalo"/>
    <w:uiPriority w:val="99"/>
    <w:semiHidden/>
    <w:rsid w:val="000F2A10"/>
    <w:rPr>
      <w:rFonts w:ascii="Segoe UI" w:eastAsia="Times New Roman" w:hAnsi="Segoe UI" w:cs="Segoe UI"/>
      <w:sz w:val="18"/>
      <w:szCs w:val="18"/>
      <w:lang w:eastAsia="pt-BR"/>
    </w:rPr>
  </w:style>
  <w:style w:type="paragraph" w:styleId="TextosemFormatao">
    <w:name w:val="Plain Text"/>
    <w:basedOn w:val="Normal"/>
    <w:link w:val="TextosemFormataoChar"/>
    <w:uiPriority w:val="99"/>
    <w:unhideWhenUsed/>
    <w:rsid w:val="00D712E6"/>
    <w:rPr>
      <w:rFonts w:ascii="Calibri" w:eastAsiaTheme="minorHAnsi" w:hAnsi="Calibri" w:cstheme="minorBidi"/>
      <w:sz w:val="22"/>
      <w:szCs w:val="21"/>
      <w:lang w:eastAsia="en-US"/>
    </w:rPr>
  </w:style>
  <w:style w:type="character" w:customStyle="1" w:styleId="TextosemFormataoChar">
    <w:name w:val="Texto sem Formatação Char"/>
    <w:basedOn w:val="Fontepargpadro"/>
    <w:link w:val="TextosemFormatao"/>
    <w:uiPriority w:val="99"/>
    <w:rsid w:val="00D712E6"/>
    <w:rPr>
      <w:rFonts w:ascii="Calibri" w:hAnsi="Calibri"/>
      <w:szCs w:val="21"/>
    </w:rPr>
  </w:style>
  <w:style w:type="paragraph" w:styleId="Rodap">
    <w:name w:val="footer"/>
    <w:basedOn w:val="Normal"/>
    <w:link w:val="RodapChar"/>
    <w:uiPriority w:val="99"/>
    <w:semiHidden/>
    <w:unhideWhenUsed/>
    <w:rsid w:val="00074888"/>
    <w:rPr>
      <w:rFonts w:eastAsiaTheme="minorHAnsi"/>
      <w:sz w:val="24"/>
      <w:szCs w:val="24"/>
    </w:rPr>
  </w:style>
  <w:style w:type="character" w:customStyle="1" w:styleId="RodapChar">
    <w:name w:val="Rodapé Char"/>
    <w:basedOn w:val="Fontepargpadro"/>
    <w:link w:val="Rodap"/>
    <w:uiPriority w:val="99"/>
    <w:semiHidden/>
    <w:rsid w:val="00074888"/>
    <w:rPr>
      <w:rFonts w:ascii="Times New Roman" w:hAnsi="Times New Roman" w:cs="Times New Roman"/>
      <w:sz w:val="24"/>
      <w:szCs w:val="24"/>
      <w:lang w:eastAsia="pt-BR"/>
    </w:rPr>
  </w:style>
  <w:style w:type="character" w:customStyle="1" w:styleId="Ttulo1Char">
    <w:name w:val="Título 1 Char"/>
    <w:basedOn w:val="Fontepargpadro"/>
    <w:link w:val="Ttulo1"/>
    <w:uiPriority w:val="9"/>
    <w:rsid w:val="005A25E2"/>
    <w:rPr>
      <w:rFonts w:ascii="Times New Roman" w:eastAsia="Times New Roman" w:hAnsi="Times New Roman" w:cs="Times New Roman"/>
      <w:b/>
      <w:bCs/>
      <w:kern w:val="36"/>
      <w:sz w:val="48"/>
      <w:szCs w:val="48"/>
      <w:lang w:eastAsia="pt-BR"/>
    </w:rPr>
  </w:style>
  <w:style w:type="table" w:styleId="Tabelacomgrade">
    <w:name w:val="Table Grid"/>
    <w:basedOn w:val="Tabelanormal"/>
    <w:uiPriority w:val="39"/>
    <w:rsid w:val="00F7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EB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artigo1ate9">
    <w:name w:val="artigo_1_ate_9º"/>
    <w:basedOn w:val="Normal"/>
    <w:rsid w:val="00A9379E"/>
    <w:pPr>
      <w:spacing w:before="100" w:beforeAutospacing="1" w:after="100" w:afterAutospacing="1"/>
    </w:pPr>
    <w:rPr>
      <w:sz w:val="24"/>
      <w:szCs w:val="24"/>
    </w:rPr>
  </w:style>
  <w:style w:type="paragraph" w:customStyle="1" w:styleId="tabelatexto8">
    <w:name w:val="tabela_texto_8"/>
    <w:basedOn w:val="Normal"/>
    <w:rsid w:val="00A9379E"/>
    <w:pPr>
      <w:spacing w:before="100" w:beforeAutospacing="1" w:after="100" w:afterAutospacing="1"/>
    </w:pPr>
    <w:rPr>
      <w:sz w:val="24"/>
      <w:szCs w:val="24"/>
    </w:rPr>
  </w:style>
  <w:style w:type="paragraph" w:customStyle="1" w:styleId="textojustificadorecuoprimeiralinha">
    <w:name w:val="texto_justificado_recuo_primeira_linha"/>
    <w:basedOn w:val="Normal"/>
    <w:rsid w:val="00257EB8"/>
    <w:pPr>
      <w:spacing w:before="100" w:beforeAutospacing="1" w:after="100" w:afterAutospacing="1"/>
    </w:pPr>
    <w:rPr>
      <w:sz w:val="24"/>
      <w:szCs w:val="24"/>
    </w:rPr>
  </w:style>
  <w:style w:type="character" w:styleId="Forte">
    <w:name w:val="Strong"/>
    <w:basedOn w:val="Fontepargpadro"/>
    <w:uiPriority w:val="22"/>
    <w:qFormat/>
    <w:rsid w:val="00257EB8"/>
    <w:rPr>
      <w:b/>
      <w:bCs/>
    </w:rPr>
  </w:style>
  <w:style w:type="character" w:styleId="Refdecomentrio">
    <w:name w:val="annotation reference"/>
    <w:basedOn w:val="Fontepargpadro"/>
    <w:uiPriority w:val="99"/>
    <w:semiHidden/>
    <w:unhideWhenUsed/>
    <w:rsid w:val="005E19AE"/>
    <w:rPr>
      <w:sz w:val="16"/>
      <w:szCs w:val="16"/>
    </w:rPr>
  </w:style>
  <w:style w:type="paragraph" w:styleId="Textodecomentrio">
    <w:name w:val="annotation text"/>
    <w:basedOn w:val="Normal"/>
    <w:link w:val="TextodecomentrioChar"/>
    <w:uiPriority w:val="99"/>
    <w:unhideWhenUsed/>
    <w:rsid w:val="005E19AE"/>
  </w:style>
  <w:style w:type="character" w:customStyle="1" w:styleId="TextodecomentrioChar">
    <w:name w:val="Texto de comentário Char"/>
    <w:basedOn w:val="Fontepargpadro"/>
    <w:link w:val="Textodecomentrio"/>
    <w:uiPriority w:val="99"/>
    <w:rsid w:val="005E19AE"/>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E19AE"/>
    <w:rPr>
      <w:b/>
      <w:bCs/>
    </w:rPr>
  </w:style>
  <w:style w:type="character" w:customStyle="1" w:styleId="AssuntodocomentrioChar">
    <w:name w:val="Assunto do comentário Char"/>
    <w:basedOn w:val="TextodecomentrioChar"/>
    <w:link w:val="Assuntodocomentrio"/>
    <w:uiPriority w:val="99"/>
    <w:semiHidden/>
    <w:rsid w:val="005E19AE"/>
    <w:rPr>
      <w:rFonts w:ascii="Times New Roman" w:eastAsia="Times New Roman" w:hAnsi="Times New Roman" w:cs="Times New Roman"/>
      <w:b/>
      <w:bCs/>
      <w:sz w:val="20"/>
      <w:szCs w:val="20"/>
      <w:lang w:eastAsia="pt-BR"/>
    </w:rPr>
  </w:style>
  <w:style w:type="paragraph" w:customStyle="1" w:styleId="textocentralizadomaiusculasnegrito">
    <w:name w:val="texto_centralizado_maiusculas_negrito"/>
    <w:basedOn w:val="Normal"/>
    <w:rsid w:val="00543802"/>
    <w:pPr>
      <w:spacing w:before="100" w:beforeAutospacing="1" w:after="100" w:afterAutospacing="1"/>
    </w:pPr>
    <w:rPr>
      <w:sz w:val="24"/>
      <w:szCs w:val="24"/>
    </w:rPr>
  </w:style>
  <w:style w:type="paragraph" w:customStyle="1" w:styleId="inciso">
    <w:name w:val="inciso"/>
    <w:basedOn w:val="Normal"/>
    <w:rsid w:val="00C72866"/>
    <w:pPr>
      <w:spacing w:before="100" w:beforeAutospacing="1" w:after="100" w:afterAutospacing="1"/>
    </w:pPr>
    <w:rPr>
      <w:sz w:val="24"/>
      <w:szCs w:val="24"/>
    </w:rPr>
  </w:style>
  <w:style w:type="paragraph" w:customStyle="1" w:styleId="textojustificado">
    <w:name w:val="texto_justificado"/>
    <w:basedOn w:val="Normal"/>
    <w:rsid w:val="00005C6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8292">
      <w:bodyDiv w:val="1"/>
      <w:marLeft w:val="0"/>
      <w:marRight w:val="0"/>
      <w:marTop w:val="0"/>
      <w:marBottom w:val="0"/>
      <w:divBdr>
        <w:top w:val="none" w:sz="0" w:space="0" w:color="auto"/>
        <w:left w:val="none" w:sz="0" w:space="0" w:color="auto"/>
        <w:bottom w:val="none" w:sz="0" w:space="0" w:color="auto"/>
        <w:right w:val="none" w:sz="0" w:space="0" w:color="auto"/>
      </w:divBdr>
    </w:div>
    <w:div w:id="142548979">
      <w:bodyDiv w:val="1"/>
      <w:marLeft w:val="0"/>
      <w:marRight w:val="0"/>
      <w:marTop w:val="0"/>
      <w:marBottom w:val="0"/>
      <w:divBdr>
        <w:top w:val="none" w:sz="0" w:space="0" w:color="auto"/>
        <w:left w:val="none" w:sz="0" w:space="0" w:color="auto"/>
        <w:bottom w:val="none" w:sz="0" w:space="0" w:color="auto"/>
        <w:right w:val="none" w:sz="0" w:space="0" w:color="auto"/>
      </w:divBdr>
    </w:div>
    <w:div w:id="158349927">
      <w:bodyDiv w:val="1"/>
      <w:marLeft w:val="0"/>
      <w:marRight w:val="0"/>
      <w:marTop w:val="0"/>
      <w:marBottom w:val="0"/>
      <w:divBdr>
        <w:top w:val="none" w:sz="0" w:space="0" w:color="auto"/>
        <w:left w:val="none" w:sz="0" w:space="0" w:color="auto"/>
        <w:bottom w:val="none" w:sz="0" w:space="0" w:color="auto"/>
        <w:right w:val="none" w:sz="0" w:space="0" w:color="auto"/>
      </w:divBdr>
    </w:div>
    <w:div w:id="180241053">
      <w:bodyDiv w:val="1"/>
      <w:marLeft w:val="0"/>
      <w:marRight w:val="0"/>
      <w:marTop w:val="0"/>
      <w:marBottom w:val="0"/>
      <w:divBdr>
        <w:top w:val="none" w:sz="0" w:space="0" w:color="auto"/>
        <w:left w:val="none" w:sz="0" w:space="0" w:color="auto"/>
        <w:bottom w:val="none" w:sz="0" w:space="0" w:color="auto"/>
        <w:right w:val="none" w:sz="0" w:space="0" w:color="auto"/>
      </w:divBdr>
    </w:div>
    <w:div w:id="217666723">
      <w:bodyDiv w:val="1"/>
      <w:marLeft w:val="0"/>
      <w:marRight w:val="0"/>
      <w:marTop w:val="0"/>
      <w:marBottom w:val="0"/>
      <w:divBdr>
        <w:top w:val="none" w:sz="0" w:space="0" w:color="auto"/>
        <w:left w:val="none" w:sz="0" w:space="0" w:color="auto"/>
        <w:bottom w:val="none" w:sz="0" w:space="0" w:color="auto"/>
        <w:right w:val="none" w:sz="0" w:space="0" w:color="auto"/>
      </w:divBdr>
    </w:div>
    <w:div w:id="222912748">
      <w:bodyDiv w:val="1"/>
      <w:marLeft w:val="0"/>
      <w:marRight w:val="0"/>
      <w:marTop w:val="0"/>
      <w:marBottom w:val="0"/>
      <w:divBdr>
        <w:top w:val="none" w:sz="0" w:space="0" w:color="auto"/>
        <w:left w:val="none" w:sz="0" w:space="0" w:color="auto"/>
        <w:bottom w:val="none" w:sz="0" w:space="0" w:color="auto"/>
        <w:right w:val="none" w:sz="0" w:space="0" w:color="auto"/>
      </w:divBdr>
    </w:div>
    <w:div w:id="300159359">
      <w:bodyDiv w:val="1"/>
      <w:marLeft w:val="0"/>
      <w:marRight w:val="0"/>
      <w:marTop w:val="0"/>
      <w:marBottom w:val="0"/>
      <w:divBdr>
        <w:top w:val="none" w:sz="0" w:space="0" w:color="auto"/>
        <w:left w:val="none" w:sz="0" w:space="0" w:color="auto"/>
        <w:bottom w:val="none" w:sz="0" w:space="0" w:color="auto"/>
        <w:right w:val="none" w:sz="0" w:space="0" w:color="auto"/>
      </w:divBdr>
    </w:div>
    <w:div w:id="312488352">
      <w:bodyDiv w:val="1"/>
      <w:marLeft w:val="0"/>
      <w:marRight w:val="0"/>
      <w:marTop w:val="0"/>
      <w:marBottom w:val="0"/>
      <w:divBdr>
        <w:top w:val="none" w:sz="0" w:space="0" w:color="auto"/>
        <w:left w:val="none" w:sz="0" w:space="0" w:color="auto"/>
        <w:bottom w:val="none" w:sz="0" w:space="0" w:color="auto"/>
        <w:right w:val="none" w:sz="0" w:space="0" w:color="auto"/>
      </w:divBdr>
    </w:div>
    <w:div w:id="318273481">
      <w:bodyDiv w:val="1"/>
      <w:marLeft w:val="0"/>
      <w:marRight w:val="0"/>
      <w:marTop w:val="0"/>
      <w:marBottom w:val="0"/>
      <w:divBdr>
        <w:top w:val="none" w:sz="0" w:space="0" w:color="auto"/>
        <w:left w:val="none" w:sz="0" w:space="0" w:color="auto"/>
        <w:bottom w:val="none" w:sz="0" w:space="0" w:color="auto"/>
        <w:right w:val="none" w:sz="0" w:space="0" w:color="auto"/>
      </w:divBdr>
    </w:div>
    <w:div w:id="334496139">
      <w:bodyDiv w:val="1"/>
      <w:marLeft w:val="0"/>
      <w:marRight w:val="0"/>
      <w:marTop w:val="0"/>
      <w:marBottom w:val="0"/>
      <w:divBdr>
        <w:top w:val="none" w:sz="0" w:space="0" w:color="auto"/>
        <w:left w:val="none" w:sz="0" w:space="0" w:color="auto"/>
        <w:bottom w:val="none" w:sz="0" w:space="0" w:color="auto"/>
        <w:right w:val="none" w:sz="0" w:space="0" w:color="auto"/>
      </w:divBdr>
    </w:div>
    <w:div w:id="337735331">
      <w:bodyDiv w:val="1"/>
      <w:marLeft w:val="0"/>
      <w:marRight w:val="0"/>
      <w:marTop w:val="0"/>
      <w:marBottom w:val="0"/>
      <w:divBdr>
        <w:top w:val="none" w:sz="0" w:space="0" w:color="auto"/>
        <w:left w:val="none" w:sz="0" w:space="0" w:color="auto"/>
        <w:bottom w:val="none" w:sz="0" w:space="0" w:color="auto"/>
        <w:right w:val="none" w:sz="0" w:space="0" w:color="auto"/>
      </w:divBdr>
    </w:div>
    <w:div w:id="383145773">
      <w:bodyDiv w:val="1"/>
      <w:marLeft w:val="0"/>
      <w:marRight w:val="0"/>
      <w:marTop w:val="0"/>
      <w:marBottom w:val="0"/>
      <w:divBdr>
        <w:top w:val="none" w:sz="0" w:space="0" w:color="auto"/>
        <w:left w:val="none" w:sz="0" w:space="0" w:color="auto"/>
        <w:bottom w:val="none" w:sz="0" w:space="0" w:color="auto"/>
        <w:right w:val="none" w:sz="0" w:space="0" w:color="auto"/>
      </w:divBdr>
    </w:div>
    <w:div w:id="385838360">
      <w:bodyDiv w:val="1"/>
      <w:marLeft w:val="0"/>
      <w:marRight w:val="0"/>
      <w:marTop w:val="0"/>
      <w:marBottom w:val="0"/>
      <w:divBdr>
        <w:top w:val="none" w:sz="0" w:space="0" w:color="auto"/>
        <w:left w:val="none" w:sz="0" w:space="0" w:color="auto"/>
        <w:bottom w:val="none" w:sz="0" w:space="0" w:color="auto"/>
        <w:right w:val="none" w:sz="0" w:space="0" w:color="auto"/>
      </w:divBdr>
    </w:div>
    <w:div w:id="399716400">
      <w:bodyDiv w:val="1"/>
      <w:marLeft w:val="0"/>
      <w:marRight w:val="0"/>
      <w:marTop w:val="0"/>
      <w:marBottom w:val="0"/>
      <w:divBdr>
        <w:top w:val="none" w:sz="0" w:space="0" w:color="auto"/>
        <w:left w:val="none" w:sz="0" w:space="0" w:color="auto"/>
        <w:bottom w:val="none" w:sz="0" w:space="0" w:color="auto"/>
        <w:right w:val="none" w:sz="0" w:space="0" w:color="auto"/>
      </w:divBdr>
    </w:div>
    <w:div w:id="573046943">
      <w:bodyDiv w:val="1"/>
      <w:marLeft w:val="0"/>
      <w:marRight w:val="0"/>
      <w:marTop w:val="0"/>
      <w:marBottom w:val="0"/>
      <w:divBdr>
        <w:top w:val="none" w:sz="0" w:space="0" w:color="auto"/>
        <w:left w:val="none" w:sz="0" w:space="0" w:color="auto"/>
        <w:bottom w:val="none" w:sz="0" w:space="0" w:color="auto"/>
        <w:right w:val="none" w:sz="0" w:space="0" w:color="auto"/>
      </w:divBdr>
    </w:div>
    <w:div w:id="599291416">
      <w:bodyDiv w:val="1"/>
      <w:marLeft w:val="0"/>
      <w:marRight w:val="0"/>
      <w:marTop w:val="0"/>
      <w:marBottom w:val="0"/>
      <w:divBdr>
        <w:top w:val="none" w:sz="0" w:space="0" w:color="auto"/>
        <w:left w:val="none" w:sz="0" w:space="0" w:color="auto"/>
        <w:bottom w:val="none" w:sz="0" w:space="0" w:color="auto"/>
        <w:right w:val="none" w:sz="0" w:space="0" w:color="auto"/>
      </w:divBdr>
    </w:div>
    <w:div w:id="607347853">
      <w:bodyDiv w:val="1"/>
      <w:marLeft w:val="0"/>
      <w:marRight w:val="0"/>
      <w:marTop w:val="0"/>
      <w:marBottom w:val="0"/>
      <w:divBdr>
        <w:top w:val="none" w:sz="0" w:space="0" w:color="auto"/>
        <w:left w:val="none" w:sz="0" w:space="0" w:color="auto"/>
        <w:bottom w:val="none" w:sz="0" w:space="0" w:color="auto"/>
        <w:right w:val="none" w:sz="0" w:space="0" w:color="auto"/>
      </w:divBdr>
    </w:div>
    <w:div w:id="647366816">
      <w:bodyDiv w:val="1"/>
      <w:marLeft w:val="0"/>
      <w:marRight w:val="0"/>
      <w:marTop w:val="0"/>
      <w:marBottom w:val="0"/>
      <w:divBdr>
        <w:top w:val="none" w:sz="0" w:space="0" w:color="auto"/>
        <w:left w:val="none" w:sz="0" w:space="0" w:color="auto"/>
        <w:bottom w:val="none" w:sz="0" w:space="0" w:color="auto"/>
        <w:right w:val="none" w:sz="0" w:space="0" w:color="auto"/>
      </w:divBdr>
    </w:div>
    <w:div w:id="684523695">
      <w:bodyDiv w:val="1"/>
      <w:marLeft w:val="0"/>
      <w:marRight w:val="0"/>
      <w:marTop w:val="0"/>
      <w:marBottom w:val="0"/>
      <w:divBdr>
        <w:top w:val="none" w:sz="0" w:space="0" w:color="auto"/>
        <w:left w:val="none" w:sz="0" w:space="0" w:color="auto"/>
        <w:bottom w:val="none" w:sz="0" w:space="0" w:color="auto"/>
        <w:right w:val="none" w:sz="0" w:space="0" w:color="auto"/>
      </w:divBdr>
    </w:div>
    <w:div w:id="710153608">
      <w:bodyDiv w:val="1"/>
      <w:marLeft w:val="0"/>
      <w:marRight w:val="0"/>
      <w:marTop w:val="0"/>
      <w:marBottom w:val="0"/>
      <w:divBdr>
        <w:top w:val="none" w:sz="0" w:space="0" w:color="auto"/>
        <w:left w:val="none" w:sz="0" w:space="0" w:color="auto"/>
        <w:bottom w:val="none" w:sz="0" w:space="0" w:color="auto"/>
        <w:right w:val="none" w:sz="0" w:space="0" w:color="auto"/>
      </w:divBdr>
    </w:div>
    <w:div w:id="737173476">
      <w:bodyDiv w:val="1"/>
      <w:marLeft w:val="0"/>
      <w:marRight w:val="0"/>
      <w:marTop w:val="0"/>
      <w:marBottom w:val="0"/>
      <w:divBdr>
        <w:top w:val="none" w:sz="0" w:space="0" w:color="auto"/>
        <w:left w:val="none" w:sz="0" w:space="0" w:color="auto"/>
        <w:bottom w:val="none" w:sz="0" w:space="0" w:color="auto"/>
        <w:right w:val="none" w:sz="0" w:space="0" w:color="auto"/>
      </w:divBdr>
    </w:div>
    <w:div w:id="764376450">
      <w:bodyDiv w:val="1"/>
      <w:marLeft w:val="0"/>
      <w:marRight w:val="0"/>
      <w:marTop w:val="0"/>
      <w:marBottom w:val="0"/>
      <w:divBdr>
        <w:top w:val="none" w:sz="0" w:space="0" w:color="auto"/>
        <w:left w:val="none" w:sz="0" w:space="0" w:color="auto"/>
        <w:bottom w:val="none" w:sz="0" w:space="0" w:color="auto"/>
        <w:right w:val="none" w:sz="0" w:space="0" w:color="auto"/>
      </w:divBdr>
    </w:div>
    <w:div w:id="828981445">
      <w:bodyDiv w:val="1"/>
      <w:marLeft w:val="0"/>
      <w:marRight w:val="0"/>
      <w:marTop w:val="0"/>
      <w:marBottom w:val="0"/>
      <w:divBdr>
        <w:top w:val="none" w:sz="0" w:space="0" w:color="auto"/>
        <w:left w:val="none" w:sz="0" w:space="0" w:color="auto"/>
        <w:bottom w:val="none" w:sz="0" w:space="0" w:color="auto"/>
        <w:right w:val="none" w:sz="0" w:space="0" w:color="auto"/>
      </w:divBdr>
    </w:div>
    <w:div w:id="857499376">
      <w:bodyDiv w:val="1"/>
      <w:marLeft w:val="0"/>
      <w:marRight w:val="0"/>
      <w:marTop w:val="0"/>
      <w:marBottom w:val="0"/>
      <w:divBdr>
        <w:top w:val="none" w:sz="0" w:space="0" w:color="auto"/>
        <w:left w:val="none" w:sz="0" w:space="0" w:color="auto"/>
        <w:bottom w:val="none" w:sz="0" w:space="0" w:color="auto"/>
        <w:right w:val="none" w:sz="0" w:space="0" w:color="auto"/>
      </w:divBdr>
    </w:div>
    <w:div w:id="882404644">
      <w:bodyDiv w:val="1"/>
      <w:marLeft w:val="0"/>
      <w:marRight w:val="0"/>
      <w:marTop w:val="0"/>
      <w:marBottom w:val="0"/>
      <w:divBdr>
        <w:top w:val="none" w:sz="0" w:space="0" w:color="auto"/>
        <w:left w:val="none" w:sz="0" w:space="0" w:color="auto"/>
        <w:bottom w:val="none" w:sz="0" w:space="0" w:color="auto"/>
        <w:right w:val="none" w:sz="0" w:space="0" w:color="auto"/>
      </w:divBdr>
    </w:div>
    <w:div w:id="924606169">
      <w:bodyDiv w:val="1"/>
      <w:marLeft w:val="0"/>
      <w:marRight w:val="0"/>
      <w:marTop w:val="0"/>
      <w:marBottom w:val="0"/>
      <w:divBdr>
        <w:top w:val="none" w:sz="0" w:space="0" w:color="auto"/>
        <w:left w:val="none" w:sz="0" w:space="0" w:color="auto"/>
        <w:bottom w:val="none" w:sz="0" w:space="0" w:color="auto"/>
        <w:right w:val="none" w:sz="0" w:space="0" w:color="auto"/>
      </w:divBdr>
    </w:div>
    <w:div w:id="956180908">
      <w:bodyDiv w:val="1"/>
      <w:marLeft w:val="0"/>
      <w:marRight w:val="0"/>
      <w:marTop w:val="0"/>
      <w:marBottom w:val="0"/>
      <w:divBdr>
        <w:top w:val="none" w:sz="0" w:space="0" w:color="auto"/>
        <w:left w:val="none" w:sz="0" w:space="0" w:color="auto"/>
        <w:bottom w:val="none" w:sz="0" w:space="0" w:color="auto"/>
        <w:right w:val="none" w:sz="0" w:space="0" w:color="auto"/>
      </w:divBdr>
    </w:div>
    <w:div w:id="1021593439">
      <w:bodyDiv w:val="1"/>
      <w:marLeft w:val="0"/>
      <w:marRight w:val="0"/>
      <w:marTop w:val="0"/>
      <w:marBottom w:val="0"/>
      <w:divBdr>
        <w:top w:val="none" w:sz="0" w:space="0" w:color="auto"/>
        <w:left w:val="none" w:sz="0" w:space="0" w:color="auto"/>
        <w:bottom w:val="none" w:sz="0" w:space="0" w:color="auto"/>
        <w:right w:val="none" w:sz="0" w:space="0" w:color="auto"/>
      </w:divBdr>
    </w:div>
    <w:div w:id="1337919694">
      <w:bodyDiv w:val="1"/>
      <w:marLeft w:val="0"/>
      <w:marRight w:val="0"/>
      <w:marTop w:val="0"/>
      <w:marBottom w:val="0"/>
      <w:divBdr>
        <w:top w:val="none" w:sz="0" w:space="0" w:color="auto"/>
        <w:left w:val="none" w:sz="0" w:space="0" w:color="auto"/>
        <w:bottom w:val="none" w:sz="0" w:space="0" w:color="auto"/>
        <w:right w:val="none" w:sz="0" w:space="0" w:color="auto"/>
      </w:divBdr>
    </w:div>
    <w:div w:id="1342854149">
      <w:bodyDiv w:val="1"/>
      <w:marLeft w:val="0"/>
      <w:marRight w:val="0"/>
      <w:marTop w:val="0"/>
      <w:marBottom w:val="0"/>
      <w:divBdr>
        <w:top w:val="none" w:sz="0" w:space="0" w:color="auto"/>
        <w:left w:val="none" w:sz="0" w:space="0" w:color="auto"/>
        <w:bottom w:val="none" w:sz="0" w:space="0" w:color="auto"/>
        <w:right w:val="none" w:sz="0" w:space="0" w:color="auto"/>
      </w:divBdr>
    </w:div>
    <w:div w:id="1363094643">
      <w:bodyDiv w:val="1"/>
      <w:marLeft w:val="0"/>
      <w:marRight w:val="0"/>
      <w:marTop w:val="0"/>
      <w:marBottom w:val="0"/>
      <w:divBdr>
        <w:top w:val="none" w:sz="0" w:space="0" w:color="auto"/>
        <w:left w:val="none" w:sz="0" w:space="0" w:color="auto"/>
        <w:bottom w:val="none" w:sz="0" w:space="0" w:color="auto"/>
        <w:right w:val="none" w:sz="0" w:space="0" w:color="auto"/>
      </w:divBdr>
    </w:div>
    <w:div w:id="1369914697">
      <w:bodyDiv w:val="1"/>
      <w:marLeft w:val="0"/>
      <w:marRight w:val="0"/>
      <w:marTop w:val="0"/>
      <w:marBottom w:val="0"/>
      <w:divBdr>
        <w:top w:val="none" w:sz="0" w:space="0" w:color="auto"/>
        <w:left w:val="none" w:sz="0" w:space="0" w:color="auto"/>
        <w:bottom w:val="none" w:sz="0" w:space="0" w:color="auto"/>
        <w:right w:val="none" w:sz="0" w:space="0" w:color="auto"/>
      </w:divBdr>
    </w:div>
    <w:div w:id="1414468971">
      <w:bodyDiv w:val="1"/>
      <w:marLeft w:val="0"/>
      <w:marRight w:val="0"/>
      <w:marTop w:val="0"/>
      <w:marBottom w:val="0"/>
      <w:divBdr>
        <w:top w:val="none" w:sz="0" w:space="0" w:color="auto"/>
        <w:left w:val="none" w:sz="0" w:space="0" w:color="auto"/>
        <w:bottom w:val="none" w:sz="0" w:space="0" w:color="auto"/>
        <w:right w:val="none" w:sz="0" w:space="0" w:color="auto"/>
      </w:divBdr>
      <w:divsChild>
        <w:div w:id="55905712">
          <w:marLeft w:val="0"/>
          <w:marRight w:val="0"/>
          <w:marTop w:val="280"/>
          <w:marBottom w:val="280"/>
          <w:divBdr>
            <w:top w:val="none" w:sz="0" w:space="0" w:color="auto"/>
            <w:left w:val="none" w:sz="0" w:space="0" w:color="auto"/>
            <w:bottom w:val="none" w:sz="0" w:space="0" w:color="auto"/>
            <w:right w:val="none" w:sz="0" w:space="0" w:color="auto"/>
          </w:divBdr>
        </w:div>
        <w:div w:id="728378211">
          <w:marLeft w:val="0"/>
          <w:marRight w:val="0"/>
          <w:marTop w:val="280"/>
          <w:marBottom w:val="280"/>
          <w:divBdr>
            <w:top w:val="none" w:sz="0" w:space="0" w:color="auto"/>
            <w:left w:val="none" w:sz="0" w:space="0" w:color="auto"/>
            <w:bottom w:val="none" w:sz="0" w:space="0" w:color="auto"/>
            <w:right w:val="none" w:sz="0" w:space="0" w:color="auto"/>
          </w:divBdr>
        </w:div>
        <w:div w:id="2097895573">
          <w:marLeft w:val="0"/>
          <w:marRight w:val="0"/>
          <w:marTop w:val="280"/>
          <w:marBottom w:val="280"/>
          <w:divBdr>
            <w:top w:val="none" w:sz="0" w:space="0" w:color="auto"/>
            <w:left w:val="none" w:sz="0" w:space="0" w:color="auto"/>
            <w:bottom w:val="none" w:sz="0" w:space="0" w:color="auto"/>
            <w:right w:val="none" w:sz="0" w:space="0" w:color="auto"/>
          </w:divBdr>
        </w:div>
        <w:div w:id="2006740729">
          <w:marLeft w:val="0"/>
          <w:marRight w:val="0"/>
          <w:marTop w:val="280"/>
          <w:marBottom w:val="280"/>
          <w:divBdr>
            <w:top w:val="none" w:sz="0" w:space="0" w:color="auto"/>
            <w:left w:val="none" w:sz="0" w:space="0" w:color="auto"/>
            <w:bottom w:val="none" w:sz="0" w:space="0" w:color="auto"/>
            <w:right w:val="none" w:sz="0" w:space="0" w:color="auto"/>
          </w:divBdr>
        </w:div>
        <w:div w:id="1665355594">
          <w:marLeft w:val="0"/>
          <w:marRight w:val="0"/>
          <w:marTop w:val="280"/>
          <w:marBottom w:val="280"/>
          <w:divBdr>
            <w:top w:val="none" w:sz="0" w:space="0" w:color="auto"/>
            <w:left w:val="none" w:sz="0" w:space="0" w:color="auto"/>
            <w:bottom w:val="none" w:sz="0" w:space="0" w:color="auto"/>
            <w:right w:val="none" w:sz="0" w:space="0" w:color="auto"/>
          </w:divBdr>
        </w:div>
        <w:div w:id="1919367436">
          <w:marLeft w:val="0"/>
          <w:marRight w:val="0"/>
          <w:marTop w:val="280"/>
          <w:marBottom w:val="280"/>
          <w:divBdr>
            <w:top w:val="none" w:sz="0" w:space="0" w:color="auto"/>
            <w:left w:val="none" w:sz="0" w:space="0" w:color="auto"/>
            <w:bottom w:val="none" w:sz="0" w:space="0" w:color="auto"/>
            <w:right w:val="none" w:sz="0" w:space="0" w:color="auto"/>
          </w:divBdr>
        </w:div>
        <w:div w:id="747307307">
          <w:marLeft w:val="0"/>
          <w:marRight w:val="0"/>
          <w:marTop w:val="280"/>
          <w:marBottom w:val="280"/>
          <w:divBdr>
            <w:top w:val="none" w:sz="0" w:space="0" w:color="auto"/>
            <w:left w:val="none" w:sz="0" w:space="0" w:color="auto"/>
            <w:bottom w:val="none" w:sz="0" w:space="0" w:color="auto"/>
            <w:right w:val="none" w:sz="0" w:space="0" w:color="auto"/>
          </w:divBdr>
        </w:div>
        <w:div w:id="1148284711">
          <w:marLeft w:val="0"/>
          <w:marRight w:val="0"/>
          <w:marTop w:val="280"/>
          <w:marBottom w:val="280"/>
          <w:divBdr>
            <w:top w:val="none" w:sz="0" w:space="0" w:color="auto"/>
            <w:left w:val="none" w:sz="0" w:space="0" w:color="auto"/>
            <w:bottom w:val="none" w:sz="0" w:space="0" w:color="auto"/>
            <w:right w:val="none" w:sz="0" w:space="0" w:color="auto"/>
          </w:divBdr>
        </w:div>
      </w:divsChild>
    </w:div>
    <w:div w:id="1429152457">
      <w:bodyDiv w:val="1"/>
      <w:marLeft w:val="0"/>
      <w:marRight w:val="0"/>
      <w:marTop w:val="0"/>
      <w:marBottom w:val="0"/>
      <w:divBdr>
        <w:top w:val="none" w:sz="0" w:space="0" w:color="auto"/>
        <w:left w:val="none" w:sz="0" w:space="0" w:color="auto"/>
        <w:bottom w:val="none" w:sz="0" w:space="0" w:color="auto"/>
        <w:right w:val="none" w:sz="0" w:space="0" w:color="auto"/>
      </w:divBdr>
    </w:div>
    <w:div w:id="1447502961">
      <w:bodyDiv w:val="1"/>
      <w:marLeft w:val="0"/>
      <w:marRight w:val="0"/>
      <w:marTop w:val="0"/>
      <w:marBottom w:val="0"/>
      <w:divBdr>
        <w:top w:val="none" w:sz="0" w:space="0" w:color="auto"/>
        <w:left w:val="none" w:sz="0" w:space="0" w:color="auto"/>
        <w:bottom w:val="none" w:sz="0" w:space="0" w:color="auto"/>
        <w:right w:val="none" w:sz="0" w:space="0" w:color="auto"/>
      </w:divBdr>
    </w:div>
    <w:div w:id="1488204913">
      <w:bodyDiv w:val="1"/>
      <w:marLeft w:val="0"/>
      <w:marRight w:val="0"/>
      <w:marTop w:val="0"/>
      <w:marBottom w:val="0"/>
      <w:divBdr>
        <w:top w:val="none" w:sz="0" w:space="0" w:color="auto"/>
        <w:left w:val="none" w:sz="0" w:space="0" w:color="auto"/>
        <w:bottom w:val="none" w:sz="0" w:space="0" w:color="auto"/>
        <w:right w:val="none" w:sz="0" w:space="0" w:color="auto"/>
      </w:divBdr>
    </w:div>
    <w:div w:id="1511606908">
      <w:bodyDiv w:val="1"/>
      <w:marLeft w:val="0"/>
      <w:marRight w:val="0"/>
      <w:marTop w:val="0"/>
      <w:marBottom w:val="0"/>
      <w:divBdr>
        <w:top w:val="none" w:sz="0" w:space="0" w:color="auto"/>
        <w:left w:val="none" w:sz="0" w:space="0" w:color="auto"/>
        <w:bottom w:val="none" w:sz="0" w:space="0" w:color="auto"/>
        <w:right w:val="none" w:sz="0" w:space="0" w:color="auto"/>
      </w:divBdr>
    </w:div>
    <w:div w:id="1554924909">
      <w:bodyDiv w:val="1"/>
      <w:marLeft w:val="0"/>
      <w:marRight w:val="0"/>
      <w:marTop w:val="0"/>
      <w:marBottom w:val="0"/>
      <w:divBdr>
        <w:top w:val="none" w:sz="0" w:space="0" w:color="auto"/>
        <w:left w:val="none" w:sz="0" w:space="0" w:color="auto"/>
        <w:bottom w:val="none" w:sz="0" w:space="0" w:color="auto"/>
        <w:right w:val="none" w:sz="0" w:space="0" w:color="auto"/>
      </w:divBdr>
    </w:div>
    <w:div w:id="1573849623">
      <w:bodyDiv w:val="1"/>
      <w:marLeft w:val="0"/>
      <w:marRight w:val="0"/>
      <w:marTop w:val="0"/>
      <w:marBottom w:val="0"/>
      <w:divBdr>
        <w:top w:val="none" w:sz="0" w:space="0" w:color="auto"/>
        <w:left w:val="none" w:sz="0" w:space="0" w:color="auto"/>
        <w:bottom w:val="none" w:sz="0" w:space="0" w:color="auto"/>
        <w:right w:val="none" w:sz="0" w:space="0" w:color="auto"/>
      </w:divBdr>
    </w:div>
    <w:div w:id="1645768224">
      <w:bodyDiv w:val="1"/>
      <w:marLeft w:val="0"/>
      <w:marRight w:val="0"/>
      <w:marTop w:val="0"/>
      <w:marBottom w:val="0"/>
      <w:divBdr>
        <w:top w:val="none" w:sz="0" w:space="0" w:color="auto"/>
        <w:left w:val="none" w:sz="0" w:space="0" w:color="auto"/>
        <w:bottom w:val="none" w:sz="0" w:space="0" w:color="auto"/>
        <w:right w:val="none" w:sz="0" w:space="0" w:color="auto"/>
      </w:divBdr>
    </w:div>
    <w:div w:id="1754089147">
      <w:bodyDiv w:val="1"/>
      <w:marLeft w:val="0"/>
      <w:marRight w:val="0"/>
      <w:marTop w:val="0"/>
      <w:marBottom w:val="0"/>
      <w:divBdr>
        <w:top w:val="none" w:sz="0" w:space="0" w:color="auto"/>
        <w:left w:val="none" w:sz="0" w:space="0" w:color="auto"/>
        <w:bottom w:val="none" w:sz="0" w:space="0" w:color="auto"/>
        <w:right w:val="none" w:sz="0" w:space="0" w:color="auto"/>
      </w:divBdr>
    </w:div>
    <w:div w:id="1756778883">
      <w:bodyDiv w:val="1"/>
      <w:marLeft w:val="0"/>
      <w:marRight w:val="0"/>
      <w:marTop w:val="0"/>
      <w:marBottom w:val="0"/>
      <w:divBdr>
        <w:top w:val="none" w:sz="0" w:space="0" w:color="auto"/>
        <w:left w:val="none" w:sz="0" w:space="0" w:color="auto"/>
        <w:bottom w:val="none" w:sz="0" w:space="0" w:color="auto"/>
        <w:right w:val="none" w:sz="0" w:space="0" w:color="auto"/>
      </w:divBdr>
    </w:div>
    <w:div w:id="1757021878">
      <w:bodyDiv w:val="1"/>
      <w:marLeft w:val="0"/>
      <w:marRight w:val="0"/>
      <w:marTop w:val="0"/>
      <w:marBottom w:val="0"/>
      <w:divBdr>
        <w:top w:val="none" w:sz="0" w:space="0" w:color="auto"/>
        <w:left w:val="none" w:sz="0" w:space="0" w:color="auto"/>
        <w:bottom w:val="none" w:sz="0" w:space="0" w:color="auto"/>
        <w:right w:val="none" w:sz="0" w:space="0" w:color="auto"/>
      </w:divBdr>
    </w:div>
    <w:div w:id="1847861126">
      <w:bodyDiv w:val="1"/>
      <w:marLeft w:val="0"/>
      <w:marRight w:val="0"/>
      <w:marTop w:val="0"/>
      <w:marBottom w:val="0"/>
      <w:divBdr>
        <w:top w:val="none" w:sz="0" w:space="0" w:color="auto"/>
        <w:left w:val="none" w:sz="0" w:space="0" w:color="auto"/>
        <w:bottom w:val="none" w:sz="0" w:space="0" w:color="auto"/>
        <w:right w:val="none" w:sz="0" w:space="0" w:color="auto"/>
      </w:divBdr>
    </w:div>
    <w:div w:id="1871145518">
      <w:bodyDiv w:val="1"/>
      <w:marLeft w:val="0"/>
      <w:marRight w:val="0"/>
      <w:marTop w:val="0"/>
      <w:marBottom w:val="0"/>
      <w:divBdr>
        <w:top w:val="none" w:sz="0" w:space="0" w:color="auto"/>
        <w:left w:val="none" w:sz="0" w:space="0" w:color="auto"/>
        <w:bottom w:val="none" w:sz="0" w:space="0" w:color="auto"/>
        <w:right w:val="none" w:sz="0" w:space="0" w:color="auto"/>
      </w:divBdr>
    </w:div>
    <w:div w:id="1896699361">
      <w:bodyDiv w:val="1"/>
      <w:marLeft w:val="0"/>
      <w:marRight w:val="0"/>
      <w:marTop w:val="0"/>
      <w:marBottom w:val="0"/>
      <w:divBdr>
        <w:top w:val="none" w:sz="0" w:space="0" w:color="auto"/>
        <w:left w:val="none" w:sz="0" w:space="0" w:color="auto"/>
        <w:bottom w:val="none" w:sz="0" w:space="0" w:color="auto"/>
        <w:right w:val="none" w:sz="0" w:space="0" w:color="auto"/>
      </w:divBdr>
    </w:div>
    <w:div w:id="1916276201">
      <w:bodyDiv w:val="1"/>
      <w:marLeft w:val="0"/>
      <w:marRight w:val="0"/>
      <w:marTop w:val="0"/>
      <w:marBottom w:val="0"/>
      <w:divBdr>
        <w:top w:val="none" w:sz="0" w:space="0" w:color="auto"/>
        <w:left w:val="none" w:sz="0" w:space="0" w:color="auto"/>
        <w:bottom w:val="none" w:sz="0" w:space="0" w:color="auto"/>
        <w:right w:val="none" w:sz="0" w:space="0" w:color="auto"/>
      </w:divBdr>
    </w:div>
    <w:div w:id="2013026585">
      <w:bodyDiv w:val="1"/>
      <w:marLeft w:val="0"/>
      <w:marRight w:val="0"/>
      <w:marTop w:val="0"/>
      <w:marBottom w:val="0"/>
      <w:divBdr>
        <w:top w:val="none" w:sz="0" w:space="0" w:color="auto"/>
        <w:left w:val="none" w:sz="0" w:space="0" w:color="auto"/>
        <w:bottom w:val="none" w:sz="0" w:space="0" w:color="auto"/>
        <w:right w:val="none" w:sz="0" w:space="0" w:color="auto"/>
      </w:divBdr>
    </w:div>
    <w:div w:id="2025742991">
      <w:bodyDiv w:val="1"/>
      <w:marLeft w:val="0"/>
      <w:marRight w:val="0"/>
      <w:marTop w:val="0"/>
      <w:marBottom w:val="0"/>
      <w:divBdr>
        <w:top w:val="none" w:sz="0" w:space="0" w:color="auto"/>
        <w:left w:val="none" w:sz="0" w:space="0" w:color="auto"/>
        <w:bottom w:val="none" w:sz="0" w:space="0" w:color="auto"/>
        <w:right w:val="none" w:sz="0" w:space="0" w:color="auto"/>
      </w:divBdr>
    </w:div>
    <w:div w:id="2068795931">
      <w:bodyDiv w:val="1"/>
      <w:marLeft w:val="0"/>
      <w:marRight w:val="0"/>
      <w:marTop w:val="0"/>
      <w:marBottom w:val="0"/>
      <w:divBdr>
        <w:top w:val="none" w:sz="0" w:space="0" w:color="auto"/>
        <w:left w:val="none" w:sz="0" w:space="0" w:color="auto"/>
        <w:bottom w:val="none" w:sz="0" w:space="0" w:color="auto"/>
        <w:right w:val="none" w:sz="0" w:space="0" w:color="auto"/>
      </w:divBdr>
    </w:div>
    <w:div w:id="2097171793">
      <w:bodyDiv w:val="1"/>
      <w:marLeft w:val="0"/>
      <w:marRight w:val="0"/>
      <w:marTop w:val="0"/>
      <w:marBottom w:val="0"/>
      <w:divBdr>
        <w:top w:val="none" w:sz="0" w:space="0" w:color="auto"/>
        <w:left w:val="none" w:sz="0" w:space="0" w:color="auto"/>
        <w:bottom w:val="none" w:sz="0" w:space="0" w:color="auto"/>
        <w:right w:val="none" w:sz="0" w:space="0" w:color="auto"/>
      </w:divBdr>
    </w:div>
    <w:div w:id="2109615081">
      <w:bodyDiv w:val="1"/>
      <w:marLeft w:val="0"/>
      <w:marRight w:val="0"/>
      <w:marTop w:val="0"/>
      <w:marBottom w:val="0"/>
      <w:divBdr>
        <w:top w:val="none" w:sz="0" w:space="0" w:color="auto"/>
        <w:left w:val="none" w:sz="0" w:space="0" w:color="auto"/>
        <w:bottom w:val="none" w:sz="0" w:space="0" w:color="auto"/>
        <w:right w:val="none" w:sz="0" w:space="0" w:color="auto"/>
      </w:divBdr>
    </w:div>
    <w:div w:id="212160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47AB4-F8BC-4C04-B25D-9092BA89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2290</Words>
  <Characters>12368</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SUSEP</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robertoss</dc:creator>
  <cp:lastModifiedBy>Carlos Eduardo Cunha</cp:lastModifiedBy>
  <cp:revision>2</cp:revision>
  <cp:lastPrinted>2016-05-19T13:03:00Z</cp:lastPrinted>
  <dcterms:created xsi:type="dcterms:W3CDTF">2020-10-13T18:23:00Z</dcterms:created>
  <dcterms:modified xsi:type="dcterms:W3CDTF">2020-10-13T18:23:00Z</dcterms:modified>
</cp:coreProperties>
</file>