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CF7AD" w14:textId="77777777" w:rsidR="00760BE5" w:rsidRPr="00304575" w:rsidRDefault="00760BE5" w:rsidP="00286B99">
      <w:pPr>
        <w:rPr>
          <w:b/>
          <w:bCs/>
          <w:sz w:val="24"/>
          <w:szCs w:val="24"/>
        </w:rPr>
      </w:pPr>
    </w:p>
    <w:tbl>
      <w:tblPr>
        <w:tblStyle w:val="Tabelacomgrade"/>
        <w:tblW w:w="15881" w:type="dxa"/>
        <w:tblInd w:w="-998" w:type="dxa"/>
        <w:tblLayout w:type="fixed"/>
        <w:tblLook w:val="04A0" w:firstRow="1" w:lastRow="0" w:firstColumn="1" w:lastColumn="0" w:noHBand="0" w:noVBand="1"/>
      </w:tblPr>
      <w:tblGrid>
        <w:gridCol w:w="5104"/>
        <w:gridCol w:w="5245"/>
        <w:gridCol w:w="5532"/>
      </w:tblGrid>
      <w:tr w:rsidR="00760BE5" w:rsidRPr="0056460E" w14:paraId="09B9DA85" w14:textId="77777777" w:rsidTr="007632B3">
        <w:trPr>
          <w:trHeight w:hRule="exact" w:val="340"/>
        </w:trPr>
        <w:tc>
          <w:tcPr>
            <w:tcW w:w="15881" w:type="dxa"/>
            <w:gridSpan w:val="3"/>
          </w:tcPr>
          <w:p w14:paraId="27C686DC" w14:textId="77777777" w:rsidR="00760BE5" w:rsidRPr="0056460E" w:rsidRDefault="00760BE5" w:rsidP="00BF0910">
            <w:pPr>
              <w:autoSpaceDE w:val="0"/>
              <w:autoSpaceDN w:val="0"/>
              <w:adjustRightInd w:val="0"/>
              <w:jc w:val="center"/>
              <w:rPr>
                <w:rFonts w:asciiTheme="minorHAnsi" w:eastAsiaTheme="minorHAnsi" w:hAnsiTheme="minorHAnsi" w:cstheme="minorHAnsi"/>
                <w:b/>
                <w:bCs/>
                <w:sz w:val="22"/>
                <w:szCs w:val="22"/>
                <w:lang w:eastAsia="en-US"/>
              </w:rPr>
            </w:pPr>
            <w:r w:rsidRPr="0056460E">
              <w:rPr>
                <w:rFonts w:asciiTheme="minorHAnsi" w:eastAsiaTheme="minorHAnsi" w:hAnsiTheme="minorHAnsi" w:cstheme="minorHAnsi"/>
                <w:b/>
                <w:bCs/>
                <w:sz w:val="22"/>
                <w:szCs w:val="22"/>
                <w:lang w:eastAsia="en-US"/>
              </w:rPr>
              <w:t>QUADRO PADRONIZADO PARA APRESENTAÇÃO DE SUGESTÕES E COMENTÁRIOS</w:t>
            </w:r>
          </w:p>
          <w:p w14:paraId="063065B1" w14:textId="77777777" w:rsidR="00760BE5" w:rsidRPr="0056460E" w:rsidRDefault="00760BE5" w:rsidP="00BF0910">
            <w:pPr>
              <w:jc w:val="center"/>
              <w:rPr>
                <w:rFonts w:asciiTheme="minorHAnsi" w:hAnsiTheme="minorHAnsi"/>
                <w:b/>
                <w:bCs/>
                <w:sz w:val="22"/>
                <w:szCs w:val="22"/>
              </w:rPr>
            </w:pPr>
          </w:p>
        </w:tc>
      </w:tr>
      <w:tr w:rsidR="00760BE5" w:rsidRPr="0056460E" w14:paraId="508F4D7C" w14:textId="77777777" w:rsidTr="007632B3">
        <w:trPr>
          <w:trHeight w:hRule="exact" w:val="810"/>
        </w:trPr>
        <w:tc>
          <w:tcPr>
            <w:tcW w:w="15881" w:type="dxa"/>
            <w:gridSpan w:val="3"/>
            <w:vAlign w:val="center"/>
          </w:tcPr>
          <w:p w14:paraId="4EEC0BD8" w14:textId="4B09423F" w:rsidR="00760BE5" w:rsidRPr="0056460E" w:rsidRDefault="00760BE5" w:rsidP="00491950">
            <w:pPr>
              <w:autoSpaceDE w:val="0"/>
              <w:autoSpaceDN w:val="0"/>
              <w:adjustRightInd w:val="0"/>
              <w:rPr>
                <w:rFonts w:asciiTheme="minorHAnsi" w:hAnsiTheme="minorHAnsi"/>
                <w:b/>
                <w:bCs/>
                <w:sz w:val="22"/>
                <w:szCs w:val="22"/>
              </w:rPr>
            </w:pPr>
            <w:r w:rsidRPr="0056460E">
              <w:rPr>
                <w:rFonts w:asciiTheme="minorHAnsi" w:eastAsiaTheme="minorHAnsi" w:hAnsiTheme="minorHAnsi" w:cstheme="minorHAnsi"/>
                <w:sz w:val="22"/>
                <w:szCs w:val="22"/>
                <w:lang w:eastAsia="en-US"/>
              </w:rPr>
              <w:t>Remetente:</w:t>
            </w:r>
            <w:r w:rsidR="00087B64" w:rsidRPr="0056460E">
              <w:rPr>
                <w:rFonts w:asciiTheme="minorHAnsi" w:eastAsiaTheme="minorHAnsi" w:hAnsiTheme="minorHAnsi" w:cstheme="minorHAnsi"/>
                <w:sz w:val="22"/>
                <w:szCs w:val="22"/>
                <w:lang w:eastAsia="en-US"/>
              </w:rPr>
              <w:t xml:space="preserve"> </w:t>
            </w:r>
          </w:p>
        </w:tc>
      </w:tr>
      <w:tr w:rsidR="00F53CE3" w:rsidRPr="0056460E" w14:paraId="27DA446B" w14:textId="77777777" w:rsidTr="007632B3">
        <w:trPr>
          <w:trHeight w:hRule="exact" w:val="284"/>
        </w:trPr>
        <w:tc>
          <w:tcPr>
            <w:tcW w:w="5104" w:type="dxa"/>
          </w:tcPr>
          <w:p w14:paraId="249C7D18" w14:textId="77777777" w:rsidR="00760BE5" w:rsidRPr="0056460E" w:rsidRDefault="00760BE5" w:rsidP="00BF0910">
            <w:pPr>
              <w:jc w:val="center"/>
              <w:rPr>
                <w:rFonts w:asciiTheme="minorHAnsi" w:hAnsiTheme="minorHAnsi"/>
                <w:b/>
                <w:bCs/>
                <w:sz w:val="22"/>
                <w:szCs w:val="22"/>
              </w:rPr>
            </w:pPr>
            <w:r w:rsidRPr="0056460E">
              <w:rPr>
                <w:rFonts w:asciiTheme="minorHAnsi" w:hAnsiTheme="minorHAnsi"/>
                <w:b/>
                <w:bCs/>
                <w:sz w:val="22"/>
                <w:szCs w:val="22"/>
              </w:rPr>
              <w:t>MINUTA</w:t>
            </w:r>
          </w:p>
        </w:tc>
        <w:tc>
          <w:tcPr>
            <w:tcW w:w="5245" w:type="dxa"/>
          </w:tcPr>
          <w:p w14:paraId="2277BC8A" w14:textId="5E917E84" w:rsidR="00760BE5" w:rsidRPr="0056460E" w:rsidRDefault="00005C6E" w:rsidP="00BF0910">
            <w:pPr>
              <w:jc w:val="center"/>
              <w:rPr>
                <w:rFonts w:asciiTheme="minorHAnsi" w:hAnsiTheme="minorHAnsi"/>
                <w:b/>
                <w:bCs/>
                <w:sz w:val="22"/>
                <w:szCs w:val="22"/>
              </w:rPr>
            </w:pPr>
            <w:r>
              <w:rPr>
                <w:rFonts w:asciiTheme="minorHAnsi" w:hAnsiTheme="minorHAnsi"/>
                <w:b/>
                <w:bCs/>
                <w:sz w:val="22"/>
                <w:szCs w:val="22"/>
              </w:rPr>
              <w:t>SUGESTÕES</w:t>
            </w:r>
          </w:p>
        </w:tc>
        <w:tc>
          <w:tcPr>
            <w:tcW w:w="5532" w:type="dxa"/>
          </w:tcPr>
          <w:p w14:paraId="6688C429" w14:textId="5849C198" w:rsidR="00760BE5" w:rsidRPr="0056460E" w:rsidRDefault="00005C6E" w:rsidP="00AD6D7B">
            <w:pPr>
              <w:jc w:val="center"/>
              <w:rPr>
                <w:rFonts w:asciiTheme="minorHAnsi" w:hAnsiTheme="minorHAnsi"/>
                <w:b/>
                <w:bCs/>
                <w:sz w:val="22"/>
                <w:szCs w:val="22"/>
              </w:rPr>
            </w:pPr>
            <w:r>
              <w:rPr>
                <w:rFonts w:asciiTheme="minorHAnsi" w:hAnsiTheme="minorHAnsi"/>
                <w:b/>
                <w:bCs/>
                <w:sz w:val="22"/>
                <w:szCs w:val="22"/>
              </w:rPr>
              <w:t>JUSTIFICATIVA</w:t>
            </w:r>
            <w:r w:rsidR="00D84C8F">
              <w:rPr>
                <w:rFonts w:asciiTheme="minorHAnsi" w:hAnsiTheme="minorHAnsi"/>
                <w:b/>
                <w:bCs/>
                <w:sz w:val="22"/>
                <w:szCs w:val="22"/>
              </w:rPr>
              <w:t>S</w:t>
            </w:r>
          </w:p>
        </w:tc>
      </w:tr>
      <w:tr w:rsidR="007632B3" w:rsidRPr="0056460E" w14:paraId="65AAC922" w14:textId="77777777" w:rsidTr="007632B3">
        <w:trPr>
          <w:trHeight w:val="862"/>
        </w:trPr>
        <w:tc>
          <w:tcPr>
            <w:tcW w:w="5104" w:type="dxa"/>
          </w:tcPr>
          <w:p w14:paraId="7B7F8972" w14:textId="52CAD249" w:rsidR="007632B3" w:rsidRPr="0056460E" w:rsidRDefault="007943DC" w:rsidP="007943DC">
            <w:pPr>
              <w:jc w:val="center"/>
              <w:rPr>
                <w:rFonts w:asciiTheme="minorHAnsi" w:hAnsiTheme="minorHAnsi"/>
                <w:b/>
                <w:bCs/>
                <w:sz w:val="22"/>
                <w:szCs w:val="22"/>
              </w:rPr>
            </w:pPr>
            <w:r>
              <w:rPr>
                <w:rFonts w:asciiTheme="minorHAnsi" w:hAnsiTheme="minorHAnsi"/>
                <w:b/>
                <w:bCs/>
                <w:sz w:val="22"/>
                <w:szCs w:val="22"/>
              </w:rPr>
              <w:t xml:space="preserve">CIRCULAR SUSEP </w:t>
            </w:r>
            <w:r w:rsidR="007632B3" w:rsidRPr="0056460E">
              <w:rPr>
                <w:rFonts w:asciiTheme="minorHAnsi" w:hAnsiTheme="minorHAnsi"/>
                <w:b/>
                <w:bCs/>
                <w:sz w:val="22"/>
                <w:szCs w:val="22"/>
              </w:rPr>
              <w:t>N.º___, DE ____.</w:t>
            </w:r>
          </w:p>
        </w:tc>
        <w:tc>
          <w:tcPr>
            <w:tcW w:w="5245" w:type="dxa"/>
          </w:tcPr>
          <w:p w14:paraId="66C8CCAD" w14:textId="7C769DC2" w:rsidR="007632B3" w:rsidRPr="0056460E" w:rsidRDefault="007943DC" w:rsidP="007943DC">
            <w:pPr>
              <w:jc w:val="center"/>
              <w:rPr>
                <w:rFonts w:asciiTheme="minorHAnsi" w:hAnsiTheme="minorHAnsi"/>
                <w:b/>
                <w:bCs/>
                <w:sz w:val="22"/>
                <w:szCs w:val="22"/>
              </w:rPr>
            </w:pPr>
            <w:r>
              <w:rPr>
                <w:rFonts w:asciiTheme="minorHAnsi" w:hAnsiTheme="minorHAnsi"/>
                <w:b/>
                <w:bCs/>
                <w:sz w:val="22"/>
                <w:szCs w:val="22"/>
              </w:rPr>
              <w:t xml:space="preserve">CIRCULAR SUSEP </w:t>
            </w:r>
            <w:r w:rsidR="007632B3" w:rsidRPr="0056460E">
              <w:rPr>
                <w:rFonts w:asciiTheme="minorHAnsi" w:hAnsiTheme="minorHAnsi"/>
                <w:b/>
                <w:bCs/>
                <w:sz w:val="22"/>
                <w:szCs w:val="22"/>
              </w:rPr>
              <w:t>N.º___, DE ____.</w:t>
            </w:r>
          </w:p>
        </w:tc>
        <w:tc>
          <w:tcPr>
            <w:tcW w:w="5532" w:type="dxa"/>
          </w:tcPr>
          <w:p w14:paraId="40610933" w14:textId="77777777" w:rsidR="007632B3" w:rsidRPr="0056460E" w:rsidRDefault="007632B3" w:rsidP="007632B3">
            <w:pPr>
              <w:jc w:val="center"/>
              <w:rPr>
                <w:rFonts w:asciiTheme="minorHAnsi" w:hAnsiTheme="minorHAnsi"/>
                <w:b/>
                <w:bCs/>
                <w:sz w:val="22"/>
                <w:szCs w:val="22"/>
              </w:rPr>
            </w:pPr>
          </w:p>
        </w:tc>
      </w:tr>
      <w:tr w:rsidR="00005C6E" w:rsidRPr="0056460E" w14:paraId="27198BC7" w14:textId="77777777" w:rsidTr="007632B3">
        <w:trPr>
          <w:trHeight w:val="862"/>
        </w:trPr>
        <w:tc>
          <w:tcPr>
            <w:tcW w:w="5104" w:type="dxa"/>
          </w:tcPr>
          <w:p w14:paraId="283E4DCC" w14:textId="3FCE475D" w:rsidR="00005C6E" w:rsidRPr="0056460E" w:rsidRDefault="007943DC" w:rsidP="00005C6E">
            <w:pPr>
              <w:jc w:val="both"/>
              <w:rPr>
                <w:rFonts w:asciiTheme="minorHAnsi" w:hAnsiTheme="minorHAnsi"/>
                <w:b/>
                <w:bCs/>
                <w:sz w:val="22"/>
                <w:szCs w:val="22"/>
              </w:rPr>
            </w:pPr>
            <w:r>
              <w:rPr>
                <w:rFonts w:ascii="Calibri" w:hAnsi="Calibri" w:cs="Calibri"/>
                <w:color w:val="000000"/>
                <w:sz w:val="22"/>
                <w:szCs w:val="22"/>
              </w:rPr>
              <w:t>Altera a Circular SUSEP nº 517, de 30 de julho de 2015.</w:t>
            </w:r>
          </w:p>
        </w:tc>
        <w:tc>
          <w:tcPr>
            <w:tcW w:w="5245" w:type="dxa"/>
          </w:tcPr>
          <w:p w14:paraId="793B4A32" w14:textId="77777777" w:rsidR="00005C6E" w:rsidRPr="0056460E" w:rsidRDefault="00005C6E" w:rsidP="007632B3">
            <w:pPr>
              <w:jc w:val="center"/>
              <w:rPr>
                <w:rFonts w:asciiTheme="minorHAnsi" w:hAnsiTheme="minorHAnsi"/>
                <w:b/>
                <w:bCs/>
                <w:sz w:val="22"/>
                <w:szCs w:val="22"/>
              </w:rPr>
            </w:pPr>
          </w:p>
        </w:tc>
        <w:tc>
          <w:tcPr>
            <w:tcW w:w="5532" w:type="dxa"/>
          </w:tcPr>
          <w:p w14:paraId="729A5E1E" w14:textId="77777777" w:rsidR="00005C6E" w:rsidRPr="0056460E" w:rsidRDefault="00005C6E" w:rsidP="007632B3">
            <w:pPr>
              <w:jc w:val="center"/>
              <w:rPr>
                <w:rFonts w:asciiTheme="minorHAnsi" w:hAnsiTheme="minorHAnsi"/>
                <w:b/>
                <w:bCs/>
                <w:sz w:val="22"/>
                <w:szCs w:val="22"/>
              </w:rPr>
            </w:pPr>
          </w:p>
        </w:tc>
      </w:tr>
      <w:tr w:rsidR="007943DC" w:rsidRPr="0056460E" w14:paraId="56687EE5" w14:textId="77777777" w:rsidTr="007632B3">
        <w:trPr>
          <w:trHeight w:val="862"/>
        </w:trPr>
        <w:tc>
          <w:tcPr>
            <w:tcW w:w="5104" w:type="dxa"/>
          </w:tcPr>
          <w:p w14:paraId="1A389A06" w14:textId="77777777" w:rsidR="007943DC" w:rsidRPr="007943DC" w:rsidRDefault="007943DC" w:rsidP="007943DC">
            <w:pPr>
              <w:jc w:val="both"/>
              <w:rPr>
                <w:rFonts w:ascii="Calibri" w:hAnsi="Calibri" w:cs="Calibri"/>
                <w:color w:val="000000"/>
                <w:sz w:val="22"/>
                <w:szCs w:val="22"/>
              </w:rPr>
            </w:pPr>
            <w:r w:rsidRPr="007943DC">
              <w:rPr>
                <w:rFonts w:ascii="Calibri" w:hAnsi="Calibri" w:cs="Calibri"/>
                <w:color w:val="000000"/>
                <w:sz w:val="22"/>
                <w:szCs w:val="22"/>
              </w:rPr>
              <w:t xml:space="preserve">A </w:t>
            </w:r>
            <w:r w:rsidRPr="007943DC">
              <w:rPr>
                <w:rFonts w:ascii="Calibri" w:hAnsi="Calibri" w:cs="Calibri"/>
                <w:b/>
                <w:color w:val="000000"/>
                <w:sz w:val="22"/>
                <w:szCs w:val="22"/>
              </w:rPr>
              <w:t>SUPERINTENDENTE DA SUPERINTENDÊNCIA DE SEGUROS PRIVADOS - Susep</w:t>
            </w:r>
            <w:r w:rsidRPr="007943DC">
              <w:rPr>
                <w:rFonts w:ascii="Calibri" w:hAnsi="Calibri" w:cs="Calibri"/>
                <w:color w:val="000000"/>
                <w:sz w:val="22"/>
                <w:szCs w:val="22"/>
              </w:rPr>
              <w:t>, no uso das competências que lhe foram delegadas nos termos da alínea “b” do art. 36 do Decreto-Lei nº 73, de 21 de novembro de 1966; do parágrafo único do art. 3º da Lei Complementar nº 126, de 15 de janeiro de 2007; do § 2º do art. 3º do Decreto-Lei nº 261, de 28 de fevereiro de 1967; e do art. 74 da Lei Complementar nº 109, de 29 de maio de 2001, e o que consta do Processo Susep nº 15414.609059/2020-25,</w:t>
            </w:r>
          </w:p>
          <w:p w14:paraId="6937FF40" w14:textId="77777777" w:rsidR="007943DC" w:rsidRPr="007943DC" w:rsidRDefault="007943DC" w:rsidP="007943DC">
            <w:pPr>
              <w:rPr>
                <w:rFonts w:ascii="Calibri" w:hAnsi="Calibri" w:cs="Calibri"/>
                <w:sz w:val="22"/>
                <w:szCs w:val="22"/>
              </w:rPr>
            </w:pPr>
          </w:p>
        </w:tc>
        <w:tc>
          <w:tcPr>
            <w:tcW w:w="5245" w:type="dxa"/>
          </w:tcPr>
          <w:p w14:paraId="2FA75A54" w14:textId="77777777" w:rsidR="007943DC" w:rsidRPr="0056460E" w:rsidRDefault="007943DC" w:rsidP="007632B3">
            <w:pPr>
              <w:jc w:val="center"/>
              <w:rPr>
                <w:rFonts w:asciiTheme="minorHAnsi" w:hAnsiTheme="minorHAnsi"/>
                <w:b/>
                <w:bCs/>
                <w:sz w:val="22"/>
                <w:szCs w:val="22"/>
              </w:rPr>
            </w:pPr>
          </w:p>
        </w:tc>
        <w:tc>
          <w:tcPr>
            <w:tcW w:w="5532" w:type="dxa"/>
          </w:tcPr>
          <w:p w14:paraId="424118FD" w14:textId="77777777" w:rsidR="007943DC" w:rsidRPr="0056460E" w:rsidRDefault="007943DC" w:rsidP="007632B3">
            <w:pPr>
              <w:jc w:val="center"/>
              <w:rPr>
                <w:rFonts w:asciiTheme="minorHAnsi" w:hAnsiTheme="minorHAnsi"/>
                <w:b/>
                <w:bCs/>
                <w:sz w:val="22"/>
                <w:szCs w:val="22"/>
              </w:rPr>
            </w:pPr>
          </w:p>
        </w:tc>
      </w:tr>
      <w:tr w:rsidR="007943DC" w:rsidRPr="0056460E" w14:paraId="17157162" w14:textId="77777777" w:rsidTr="007632B3">
        <w:trPr>
          <w:trHeight w:val="862"/>
        </w:trPr>
        <w:tc>
          <w:tcPr>
            <w:tcW w:w="5104" w:type="dxa"/>
          </w:tcPr>
          <w:p w14:paraId="23CF0307" w14:textId="7423BB6C" w:rsidR="007943DC" w:rsidRDefault="007943DC" w:rsidP="00005C6E">
            <w:pPr>
              <w:jc w:val="both"/>
              <w:rPr>
                <w:rFonts w:ascii="Calibri" w:hAnsi="Calibri" w:cs="Calibri"/>
                <w:color w:val="000000"/>
                <w:sz w:val="22"/>
                <w:szCs w:val="22"/>
              </w:rPr>
            </w:pPr>
            <w:r>
              <w:rPr>
                <w:rFonts w:ascii="Calibri" w:hAnsi="Calibri" w:cs="Calibri"/>
                <w:color w:val="000000"/>
                <w:sz w:val="22"/>
                <w:szCs w:val="22"/>
              </w:rPr>
              <w:t>Art. 1º A Circular Susep nº 517, de 30 de julho de 2015, passa a vigorar com as seguintes alterações:</w:t>
            </w:r>
          </w:p>
        </w:tc>
        <w:tc>
          <w:tcPr>
            <w:tcW w:w="5245" w:type="dxa"/>
          </w:tcPr>
          <w:p w14:paraId="57B3D7FE" w14:textId="77777777" w:rsidR="007943DC" w:rsidRPr="0056460E" w:rsidRDefault="007943DC" w:rsidP="007632B3">
            <w:pPr>
              <w:jc w:val="center"/>
              <w:rPr>
                <w:rFonts w:asciiTheme="minorHAnsi" w:hAnsiTheme="minorHAnsi"/>
                <w:b/>
                <w:bCs/>
                <w:sz w:val="22"/>
                <w:szCs w:val="22"/>
              </w:rPr>
            </w:pPr>
          </w:p>
        </w:tc>
        <w:tc>
          <w:tcPr>
            <w:tcW w:w="5532" w:type="dxa"/>
          </w:tcPr>
          <w:p w14:paraId="29720ACF" w14:textId="77777777" w:rsidR="007943DC" w:rsidRPr="0056460E" w:rsidRDefault="007943DC" w:rsidP="007632B3">
            <w:pPr>
              <w:jc w:val="center"/>
              <w:rPr>
                <w:rFonts w:asciiTheme="minorHAnsi" w:hAnsiTheme="minorHAnsi"/>
                <w:b/>
                <w:bCs/>
                <w:sz w:val="22"/>
                <w:szCs w:val="22"/>
              </w:rPr>
            </w:pPr>
          </w:p>
        </w:tc>
      </w:tr>
      <w:tr w:rsidR="007943DC" w:rsidRPr="0056460E" w14:paraId="38B9AC4C" w14:textId="77777777" w:rsidTr="007632B3">
        <w:trPr>
          <w:trHeight w:val="862"/>
        </w:trPr>
        <w:tc>
          <w:tcPr>
            <w:tcW w:w="5104" w:type="dxa"/>
          </w:tcPr>
          <w:p w14:paraId="34302663" w14:textId="71B65CB3" w:rsidR="007943DC" w:rsidRPr="007943DC" w:rsidRDefault="007943DC" w:rsidP="007943DC">
            <w:pPr>
              <w:jc w:val="both"/>
              <w:rPr>
                <w:rFonts w:ascii="Calibri" w:hAnsi="Calibri" w:cs="Calibri"/>
                <w:color w:val="000000"/>
                <w:sz w:val="22"/>
                <w:szCs w:val="22"/>
              </w:rPr>
            </w:pPr>
            <w:r w:rsidRPr="007943DC">
              <w:rPr>
                <w:rFonts w:ascii="Calibri" w:hAnsi="Calibri" w:cs="Calibri"/>
                <w:color w:val="000000"/>
                <w:sz w:val="22"/>
                <w:szCs w:val="22"/>
              </w:rPr>
              <w:t>"Art. 52.  .............................................</w:t>
            </w:r>
            <w:r w:rsidR="00234892">
              <w:rPr>
                <w:rFonts w:ascii="Calibri" w:hAnsi="Calibri" w:cs="Calibri"/>
                <w:color w:val="000000"/>
                <w:sz w:val="22"/>
                <w:szCs w:val="22"/>
              </w:rPr>
              <w:t>.................</w:t>
            </w:r>
            <w:r w:rsidRPr="007943DC">
              <w:rPr>
                <w:rFonts w:ascii="Calibri" w:hAnsi="Calibri" w:cs="Calibri"/>
                <w:color w:val="000000"/>
                <w:sz w:val="22"/>
                <w:szCs w:val="22"/>
              </w:rPr>
              <w:t>...........</w:t>
            </w:r>
          </w:p>
          <w:p w14:paraId="363D7D48" w14:textId="5560B048" w:rsidR="007943DC" w:rsidRPr="007943DC" w:rsidRDefault="007943DC" w:rsidP="007943DC">
            <w:pPr>
              <w:jc w:val="both"/>
              <w:rPr>
                <w:rFonts w:ascii="Calibri" w:hAnsi="Calibri" w:cs="Calibri"/>
                <w:color w:val="000000"/>
                <w:sz w:val="22"/>
                <w:szCs w:val="22"/>
              </w:rPr>
            </w:pPr>
            <w:r w:rsidRPr="007943DC">
              <w:rPr>
                <w:rFonts w:ascii="Calibri" w:hAnsi="Calibri" w:cs="Calibri"/>
                <w:color w:val="000000"/>
                <w:sz w:val="22"/>
                <w:szCs w:val="22"/>
              </w:rPr>
              <w:t>...............................................................</w:t>
            </w:r>
            <w:r>
              <w:rPr>
                <w:rFonts w:ascii="Calibri" w:hAnsi="Calibri" w:cs="Calibri"/>
                <w:color w:val="000000"/>
                <w:sz w:val="22"/>
                <w:szCs w:val="22"/>
              </w:rPr>
              <w:t>.........................</w:t>
            </w:r>
          </w:p>
          <w:p w14:paraId="6FFBFA69" w14:textId="77777777" w:rsidR="007943DC" w:rsidRPr="007943DC" w:rsidRDefault="007943DC" w:rsidP="007943DC">
            <w:pPr>
              <w:jc w:val="both"/>
              <w:rPr>
                <w:rFonts w:ascii="Calibri" w:hAnsi="Calibri" w:cs="Calibri"/>
                <w:color w:val="000000"/>
                <w:sz w:val="22"/>
                <w:szCs w:val="22"/>
              </w:rPr>
            </w:pPr>
          </w:p>
          <w:p w14:paraId="30C28462" w14:textId="49640FEF" w:rsidR="007943DC" w:rsidRPr="007943DC" w:rsidRDefault="007943DC" w:rsidP="007943DC">
            <w:pPr>
              <w:jc w:val="both"/>
              <w:rPr>
                <w:rFonts w:ascii="Calibri" w:hAnsi="Calibri" w:cs="Calibri"/>
                <w:color w:val="000000"/>
                <w:sz w:val="22"/>
                <w:szCs w:val="22"/>
              </w:rPr>
            </w:pPr>
            <w:r w:rsidRPr="007943DC">
              <w:rPr>
                <w:rFonts w:ascii="Calibri" w:hAnsi="Calibri" w:cs="Calibri"/>
                <w:color w:val="000000"/>
                <w:sz w:val="22"/>
                <w:szCs w:val="22"/>
              </w:rPr>
              <w:t>§ 3º .....................................................</w:t>
            </w:r>
            <w:r>
              <w:rPr>
                <w:rFonts w:ascii="Calibri" w:hAnsi="Calibri" w:cs="Calibri"/>
                <w:color w:val="000000"/>
                <w:sz w:val="22"/>
                <w:szCs w:val="22"/>
              </w:rPr>
              <w:t>...........................</w:t>
            </w:r>
          </w:p>
          <w:p w14:paraId="6885C209" w14:textId="1EC41FFD" w:rsidR="007943DC" w:rsidRPr="007943DC" w:rsidRDefault="007943DC" w:rsidP="007943DC">
            <w:pPr>
              <w:jc w:val="both"/>
              <w:rPr>
                <w:rFonts w:ascii="Calibri" w:hAnsi="Calibri" w:cs="Calibri"/>
                <w:color w:val="000000"/>
                <w:sz w:val="22"/>
                <w:szCs w:val="22"/>
              </w:rPr>
            </w:pPr>
            <w:r w:rsidRPr="007943DC">
              <w:rPr>
                <w:rFonts w:ascii="Calibri" w:hAnsi="Calibri" w:cs="Calibri"/>
                <w:color w:val="000000"/>
                <w:sz w:val="22"/>
                <w:szCs w:val="22"/>
              </w:rPr>
              <w:t>........................................................................................</w:t>
            </w:r>
          </w:p>
          <w:p w14:paraId="6E71B426" w14:textId="77777777" w:rsidR="007943DC" w:rsidRPr="007943DC" w:rsidRDefault="007943DC" w:rsidP="007943DC">
            <w:pPr>
              <w:jc w:val="both"/>
              <w:rPr>
                <w:rFonts w:ascii="Calibri" w:hAnsi="Calibri" w:cs="Calibri"/>
                <w:color w:val="000000"/>
                <w:sz w:val="22"/>
                <w:szCs w:val="22"/>
              </w:rPr>
            </w:pPr>
          </w:p>
          <w:p w14:paraId="1B1910B1" w14:textId="77777777" w:rsidR="007943DC" w:rsidRPr="007943DC" w:rsidRDefault="007943DC" w:rsidP="007943DC">
            <w:pPr>
              <w:jc w:val="both"/>
              <w:rPr>
                <w:rFonts w:ascii="Calibri" w:hAnsi="Calibri" w:cs="Calibri"/>
                <w:color w:val="000000"/>
                <w:sz w:val="22"/>
                <w:szCs w:val="22"/>
              </w:rPr>
            </w:pPr>
            <w:r w:rsidRPr="007943DC">
              <w:rPr>
                <w:rFonts w:ascii="Calibri" w:hAnsi="Calibri" w:cs="Calibri"/>
                <w:color w:val="000000"/>
                <w:sz w:val="22"/>
                <w:szCs w:val="22"/>
              </w:rPr>
              <w:t xml:space="preserve">IV - </w:t>
            </w:r>
            <w:proofErr w:type="gramStart"/>
            <w:r w:rsidRPr="007943DC">
              <w:rPr>
                <w:rFonts w:ascii="Calibri" w:hAnsi="Calibri" w:cs="Calibri"/>
                <w:color w:val="000000"/>
                <w:sz w:val="22"/>
                <w:szCs w:val="22"/>
              </w:rPr>
              <w:t>prêmios/contribuições</w:t>
            </w:r>
            <w:proofErr w:type="gramEnd"/>
            <w:r w:rsidRPr="007943DC">
              <w:rPr>
                <w:rFonts w:ascii="Calibri" w:hAnsi="Calibri" w:cs="Calibri"/>
                <w:color w:val="000000"/>
                <w:sz w:val="22"/>
                <w:szCs w:val="22"/>
              </w:rPr>
              <w:t xml:space="preserve"> não registrados, considerando operações de resseguro ou de retrocessão relacionadas;</w:t>
            </w:r>
          </w:p>
          <w:p w14:paraId="01BCF036" w14:textId="650BF06B" w:rsidR="007943DC" w:rsidRPr="007943DC" w:rsidRDefault="007943DC" w:rsidP="007943DC">
            <w:pPr>
              <w:jc w:val="both"/>
              <w:rPr>
                <w:rFonts w:ascii="Calibri" w:hAnsi="Calibri" w:cs="Calibri"/>
                <w:color w:val="000000"/>
                <w:sz w:val="22"/>
                <w:szCs w:val="22"/>
              </w:rPr>
            </w:pPr>
            <w:r w:rsidRPr="007943DC">
              <w:rPr>
                <w:rFonts w:ascii="Calibri" w:hAnsi="Calibri" w:cs="Calibri"/>
                <w:color w:val="000000"/>
                <w:sz w:val="22"/>
                <w:szCs w:val="22"/>
              </w:rPr>
              <w:t>........................................................................................</w:t>
            </w:r>
          </w:p>
          <w:p w14:paraId="4857FB3E" w14:textId="77777777" w:rsidR="007943DC" w:rsidRPr="007943DC" w:rsidRDefault="007943DC" w:rsidP="007943DC">
            <w:pPr>
              <w:jc w:val="both"/>
              <w:rPr>
                <w:rFonts w:ascii="Calibri" w:hAnsi="Calibri" w:cs="Calibri"/>
                <w:color w:val="000000"/>
                <w:sz w:val="22"/>
                <w:szCs w:val="22"/>
              </w:rPr>
            </w:pPr>
          </w:p>
          <w:p w14:paraId="724E5922" w14:textId="6E1A00EC" w:rsidR="007943DC" w:rsidRPr="007943DC" w:rsidRDefault="007943DC" w:rsidP="007943DC">
            <w:pPr>
              <w:jc w:val="both"/>
              <w:rPr>
                <w:rFonts w:ascii="Calibri" w:hAnsi="Calibri" w:cs="Calibri"/>
                <w:color w:val="000000"/>
                <w:sz w:val="22"/>
                <w:szCs w:val="22"/>
              </w:rPr>
            </w:pPr>
            <w:r w:rsidRPr="007943DC">
              <w:rPr>
                <w:rFonts w:ascii="Calibri" w:hAnsi="Calibri" w:cs="Calibri"/>
                <w:color w:val="000000"/>
                <w:sz w:val="22"/>
                <w:szCs w:val="22"/>
              </w:rPr>
              <w:t>§7º ........................................................</w:t>
            </w:r>
            <w:r>
              <w:rPr>
                <w:rFonts w:ascii="Calibri" w:hAnsi="Calibri" w:cs="Calibri"/>
                <w:color w:val="000000"/>
                <w:sz w:val="22"/>
                <w:szCs w:val="22"/>
              </w:rPr>
              <w:t>.........................</w:t>
            </w:r>
          </w:p>
          <w:p w14:paraId="1AE2FBEC" w14:textId="77777777" w:rsidR="007943DC" w:rsidRDefault="007943DC" w:rsidP="007943DC">
            <w:pPr>
              <w:jc w:val="both"/>
              <w:rPr>
                <w:rFonts w:ascii="Calibri" w:hAnsi="Calibri" w:cs="Calibri"/>
                <w:color w:val="000000"/>
                <w:sz w:val="22"/>
                <w:szCs w:val="22"/>
              </w:rPr>
            </w:pPr>
            <w:r w:rsidRPr="007943DC">
              <w:rPr>
                <w:rFonts w:ascii="Calibri" w:hAnsi="Calibri" w:cs="Calibri"/>
                <w:color w:val="000000"/>
                <w:sz w:val="22"/>
                <w:szCs w:val="22"/>
              </w:rPr>
              <w:t>.......................................................................................</w:t>
            </w:r>
          </w:p>
          <w:p w14:paraId="76A25DA2" w14:textId="77777777" w:rsidR="007943DC" w:rsidRPr="007943DC" w:rsidRDefault="007943DC" w:rsidP="007943DC">
            <w:pPr>
              <w:jc w:val="both"/>
              <w:rPr>
                <w:rFonts w:ascii="Calibri" w:hAnsi="Calibri" w:cs="Calibri"/>
                <w:color w:val="000000"/>
                <w:sz w:val="22"/>
                <w:szCs w:val="22"/>
              </w:rPr>
            </w:pPr>
          </w:p>
          <w:p w14:paraId="10E76035" w14:textId="77777777" w:rsidR="007943DC" w:rsidRPr="007943DC" w:rsidRDefault="007943DC" w:rsidP="007943DC">
            <w:pPr>
              <w:jc w:val="both"/>
              <w:rPr>
                <w:rFonts w:ascii="Calibri" w:hAnsi="Calibri" w:cs="Calibri"/>
                <w:color w:val="000000"/>
                <w:sz w:val="22"/>
                <w:szCs w:val="22"/>
              </w:rPr>
            </w:pPr>
            <w:r w:rsidRPr="007943DC">
              <w:rPr>
                <w:rFonts w:ascii="Calibri" w:hAnsi="Calibri" w:cs="Calibri"/>
                <w:color w:val="000000"/>
                <w:sz w:val="22"/>
                <w:szCs w:val="22"/>
              </w:rPr>
              <w:lastRenderedPageBreak/>
              <w:t>IV - PCC - Prêmios/contribuições não registrados, quando relacionados ao inciso IV do § 3º deste artigo.</w:t>
            </w:r>
          </w:p>
          <w:p w14:paraId="3B8A7496" w14:textId="4DEF1273" w:rsidR="007943DC" w:rsidRPr="007943DC" w:rsidRDefault="007943DC" w:rsidP="007943DC">
            <w:pPr>
              <w:jc w:val="both"/>
              <w:rPr>
                <w:rFonts w:ascii="Calibri" w:hAnsi="Calibri" w:cs="Calibri"/>
                <w:color w:val="000000"/>
                <w:sz w:val="22"/>
                <w:szCs w:val="22"/>
              </w:rPr>
            </w:pPr>
            <w:r w:rsidRPr="007943DC">
              <w:rPr>
                <w:rFonts w:ascii="Calibri" w:hAnsi="Calibri" w:cs="Calibri"/>
                <w:color w:val="000000"/>
                <w:sz w:val="22"/>
                <w:szCs w:val="22"/>
              </w:rPr>
              <w:t>........................................................................................</w:t>
            </w:r>
          </w:p>
          <w:p w14:paraId="49A7733C" w14:textId="77777777" w:rsidR="007943DC" w:rsidRPr="007943DC" w:rsidRDefault="007943DC" w:rsidP="007943DC">
            <w:pPr>
              <w:jc w:val="both"/>
              <w:rPr>
                <w:rFonts w:ascii="Calibri" w:hAnsi="Calibri" w:cs="Calibri"/>
                <w:color w:val="000000"/>
                <w:sz w:val="22"/>
                <w:szCs w:val="22"/>
              </w:rPr>
            </w:pPr>
          </w:p>
          <w:p w14:paraId="37FCAF59" w14:textId="77777777" w:rsidR="007943DC" w:rsidRPr="007943DC" w:rsidRDefault="007943DC" w:rsidP="007943DC">
            <w:pPr>
              <w:jc w:val="both"/>
              <w:rPr>
                <w:rFonts w:ascii="Calibri" w:hAnsi="Calibri" w:cs="Calibri"/>
                <w:color w:val="000000"/>
                <w:sz w:val="22"/>
                <w:szCs w:val="22"/>
              </w:rPr>
            </w:pPr>
            <w:r w:rsidRPr="007943DC">
              <w:rPr>
                <w:rFonts w:ascii="Calibri" w:hAnsi="Calibri" w:cs="Calibri"/>
                <w:color w:val="000000"/>
                <w:sz w:val="22"/>
                <w:szCs w:val="22"/>
              </w:rPr>
              <w:t xml:space="preserve">§ 11º Em complemento às determinações dos </w:t>
            </w:r>
            <w:proofErr w:type="spellStart"/>
            <w:r w:rsidRPr="007943DC">
              <w:rPr>
                <w:rFonts w:ascii="Calibri" w:hAnsi="Calibri" w:cs="Calibri"/>
                <w:color w:val="000000"/>
                <w:sz w:val="22"/>
                <w:szCs w:val="22"/>
              </w:rPr>
              <w:t>arts</w:t>
            </w:r>
            <w:proofErr w:type="spellEnd"/>
            <w:r w:rsidRPr="007943DC">
              <w:rPr>
                <w:rFonts w:ascii="Calibri" w:hAnsi="Calibri" w:cs="Calibri"/>
                <w:color w:val="000000"/>
                <w:sz w:val="22"/>
                <w:szCs w:val="22"/>
              </w:rPr>
              <w:t>. 167 e 168 desta Circular, caso o resultado final do TAP seja positivo e haja operações de resseguro ou de retrocessão relacionadas às obrigações que geraram a necessidade de constituição da PCC, a supervisionada deverá efetuar reavaliação dos respectivos ativos de resseguro ou de retrocessão, de forma análoga aos procedimentos aplicáveis no TAP.</w:t>
            </w:r>
          </w:p>
          <w:p w14:paraId="73DFA80B" w14:textId="77777777" w:rsidR="007943DC" w:rsidRPr="007943DC" w:rsidRDefault="007943DC" w:rsidP="007943DC">
            <w:pPr>
              <w:jc w:val="both"/>
              <w:rPr>
                <w:rFonts w:ascii="Calibri" w:hAnsi="Calibri" w:cs="Calibri"/>
                <w:color w:val="000000"/>
                <w:sz w:val="22"/>
                <w:szCs w:val="22"/>
              </w:rPr>
            </w:pPr>
          </w:p>
          <w:p w14:paraId="67A3B6B1" w14:textId="77777777" w:rsidR="007943DC" w:rsidRDefault="007943DC" w:rsidP="007943DC">
            <w:pPr>
              <w:jc w:val="both"/>
              <w:rPr>
                <w:rFonts w:ascii="Calibri" w:hAnsi="Calibri" w:cs="Calibri"/>
                <w:color w:val="000000"/>
                <w:sz w:val="22"/>
                <w:szCs w:val="22"/>
              </w:rPr>
            </w:pPr>
            <w:r w:rsidRPr="007943DC">
              <w:rPr>
                <w:rFonts w:ascii="Calibri" w:hAnsi="Calibri" w:cs="Calibri"/>
                <w:color w:val="000000"/>
                <w:sz w:val="22"/>
                <w:szCs w:val="22"/>
              </w:rPr>
              <w:t>§ 12º A provisão de que trata o inciso IV do § 7º deste artigo não terá ativos de resseguro e de retrocessão relacionados." (NR)</w:t>
            </w:r>
          </w:p>
          <w:p w14:paraId="4CBDD9BE" w14:textId="663EAF78" w:rsidR="007943DC" w:rsidRDefault="007943DC" w:rsidP="007943DC">
            <w:pPr>
              <w:jc w:val="both"/>
              <w:rPr>
                <w:rFonts w:ascii="Calibri" w:hAnsi="Calibri" w:cs="Calibri"/>
                <w:color w:val="000000"/>
                <w:sz w:val="22"/>
                <w:szCs w:val="22"/>
              </w:rPr>
            </w:pPr>
          </w:p>
        </w:tc>
        <w:tc>
          <w:tcPr>
            <w:tcW w:w="5245" w:type="dxa"/>
          </w:tcPr>
          <w:p w14:paraId="2A5723D1" w14:textId="77777777" w:rsidR="007943DC" w:rsidRPr="0056460E" w:rsidRDefault="007943DC" w:rsidP="007632B3">
            <w:pPr>
              <w:jc w:val="center"/>
              <w:rPr>
                <w:rFonts w:asciiTheme="minorHAnsi" w:hAnsiTheme="minorHAnsi"/>
                <w:b/>
                <w:bCs/>
                <w:sz w:val="22"/>
                <w:szCs w:val="22"/>
              </w:rPr>
            </w:pPr>
          </w:p>
        </w:tc>
        <w:tc>
          <w:tcPr>
            <w:tcW w:w="5532" w:type="dxa"/>
          </w:tcPr>
          <w:p w14:paraId="6C05E1F0" w14:textId="77777777" w:rsidR="007943DC" w:rsidRPr="0056460E" w:rsidRDefault="007943DC" w:rsidP="007632B3">
            <w:pPr>
              <w:jc w:val="center"/>
              <w:rPr>
                <w:rFonts w:asciiTheme="minorHAnsi" w:hAnsiTheme="minorHAnsi"/>
                <w:b/>
                <w:bCs/>
                <w:sz w:val="22"/>
                <w:szCs w:val="22"/>
              </w:rPr>
            </w:pPr>
          </w:p>
        </w:tc>
      </w:tr>
      <w:tr w:rsidR="007943DC" w:rsidRPr="0056460E" w14:paraId="756D9182" w14:textId="77777777" w:rsidTr="007632B3">
        <w:trPr>
          <w:trHeight w:val="862"/>
        </w:trPr>
        <w:tc>
          <w:tcPr>
            <w:tcW w:w="5104" w:type="dxa"/>
          </w:tcPr>
          <w:p w14:paraId="6CA8A099" w14:textId="77777777" w:rsidR="007943DC" w:rsidRPr="00234892" w:rsidRDefault="007943DC" w:rsidP="007943DC">
            <w:pPr>
              <w:jc w:val="both"/>
              <w:rPr>
                <w:rFonts w:ascii="Calibri" w:hAnsi="Calibri" w:cs="Calibri"/>
                <w:b/>
                <w:color w:val="000000"/>
                <w:sz w:val="22"/>
                <w:szCs w:val="22"/>
              </w:rPr>
            </w:pPr>
            <w:r w:rsidRPr="00234892">
              <w:rPr>
                <w:rFonts w:ascii="Calibri" w:hAnsi="Calibri" w:cs="Calibri"/>
                <w:b/>
                <w:color w:val="000000"/>
                <w:sz w:val="22"/>
                <w:szCs w:val="22"/>
              </w:rPr>
              <w:t>“CAPÍTULO V</w:t>
            </w:r>
          </w:p>
          <w:p w14:paraId="1C2609D1" w14:textId="77777777" w:rsidR="007943DC" w:rsidRPr="00234892" w:rsidRDefault="007943DC" w:rsidP="007943DC">
            <w:pPr>
              <w:jc w:val="both"/>
              <w:rPr>
                <w:rFonts w:ascii="Calibri" w:hAnsi="Calibri" w:cs="Calibri"/>
                <w:b/>
                <w:color w:val="000000"/>
                <w:sz w:val="22"/>
                <w:szCs w:val="22"/>
              </w:rPr>
            </w:pPr>
          </w:p>
          <w:p w14:paraId="7A5350B1" w14:textId="77777777" w:rsidR="007943DC" w:rsidRPr="00234892" w:rsidRDefault="007943DC" w:rsidP="007943DC">
            <w:pPr>
              <w:jc w:val="both"/>
              <w:rPr>
                <w:rFonts w:ascii="Calibri" w:hAnsi="Calibri" w:cs="Calibri"/>
                <w:b/>
                <w:color w:val="000000"/>
                <w:sz w:val="22"/>
                <w:szCs w:val="22"/>
              </w:rPr>
            </w:pPr>
            <w:r w:rsidRPr="00234892">
              <w:rPr>
                <w:rFonts w:ascii="Calibri" w:hAnsi="Calibri" w:cs="Calibri"/>
                <w:b/>
                <w:color w:val="000000"/>
                <w:sz w:val="22"/>
                <w:szCs w:val="22"/>
              </w:rPr>
              <w:t>Do Plano de Regularização de Solvência e de Suficiência de Cobertura</w:t>
            </w:r>
          </w:p>
          <w:p w14:paraId="694B9839" w14:textId="77777777" w:rsidR="007943DC" w:rsidRPr="00234892" w:rsidRDefault="007943DC" w:rsidP="007943DC">
            <w:pPr>
              <w:jc w:val="both"/>
              <w:rPr>
                <w:rFonts w:ascii="Calibri" w:hAnsi="Calibri" w:cs="Calibri"/>
                <w:b/>
                <w:color w:val="000000"/>
                <w:sz w:val="22"/>
                <w:szCs w:val="22"/>
              </w:rPr>
            </w:pPr>
          </w:p>
          <w:p w14:paraId="141BC1B7" w14:textId="28F6E5B2" w:rsidR="007943DC" w:rsidRPr="007943DC" w:rsidRDefault="007943DC" w:rsidP="007943DC">
            <w:pPr>
              <w:jc w:val="both"/>
              <w:rPr>
                <w:rFonts w:ascii="Calibri" w:hAnsi="Calibri" w:cs="Calibri"/>
                <w:color w:val="000000"/>
                <w:sz w:val="22"/>
                <w:szCs w:val="22"/>
              </w:rPr>
            </w:pPr>
            <w:r w:rsidRPr="007943DC">
              <w:rPr>
                <w:rFonts w:ascii="Calibri" w:hAnsi="Calibri" w:cs="Calibri"/>
                <w:color w:val="000000"/>
                <w:sz w:val="22"/>
                <w:szCs w:val="22"/>
              </w:rPr>
              <w:t>Art. 92.  .................................................</w:t>
            </w:r>
            <w:r>
              <w:rPr>
                <w:rFonts w:ascii="Calibri" w:hAnsi="Calibri" w:cs="Calibri"/>
                <w:color w:val="000000"/>
                <w:sz w:val="22"/>
                <w:szCs w:val="22"/>
              </w:rPr>
              <w:t>.........................</w:t>
            </w:r>
          </w:p>
          <w:p w14:paraId="32F6FC91" w14:textId="22D6A8BF" w:rsidR="007943DC" w:rsidRPr="007943DC" w:rsidRDefault="007943DC" w:rsidP="007943DC">
            <w:pPr>
              <w:jc w:val="both"/>
              <w:rPr>
                <w:rFonts w:ascii="Calibri" w:hAnsi="Calibri" w:cs="Calibri"/>
                <w:color w:val="000000"/>
                <w:sz w:val="22"/>
                <w:szCs w:val="22"/>
              </w:rPr>
            </w:pPr>
            <w:r w:rsidRPr="007943DC">
              <w:rPr>
                <w:rFonts w:ascii="Calibri" w:hAnsi="Calibri" w:cs="Calibri"/>
                <w:color w:val="000000"/>
                <w:sz w:val="22"/>
                <w:szCs w:val="22"/>
              </w:rPr>
              <w:t>........................................................................................</w:t>
            </w:r>
          </w:p>
          <w:p w14:paraId="48440EE8" w14:textId="77777777" w:rsidR="007943DC" w:rsidRPr="007943DC" w:rsidRDefault="007943DC" w:rsidP="007943DC">
            <w:pPr>
              <w:jc w:val="both"/>
              <w:rPr>
                <w:rFonts w:ascii="Calibri" w:hAnsi="Calibri" w:cs="Calibri"/>
                <w:color w:val="000000"/>
                <w:sz w:val="22"/>
                <w:szCs w:val="22"/>
              </w:rPr>
            </w:pPr>
          </w:p>
          <w:p w14:paraId="75FCB803" w14:textId="77777777" w:rsidR="007943DC" w:rsidRPr="007943DC" w:rsidRDefault="007943DC" w:rsidP="007943DC">
            <w:pPr>
              <w:jc w:val="both"/>
              <w:rPr>
                <w:rFonts w:ascii="Calibri" w:hAnsi="Calibri" w:cs="Calibri"/>
                <w:color w:val="000000"/>
                <w:sz w:val="22"/>
                <w:szCs w:val="22"/>
              </w:rPr>
            </w:pPr>
            <w:r w:rsidRPr="007943DC">
              <w:rPr>
                <w:rFonts w:ascii="Calibri" w:hAnsi="Calibri" w:cs="Calibri"/>
                <w:color w:val="000000"/>
                <w:sz w:val="22"/>
                <w:szCs w:val="22"/>
              </w:rPr>
              <w:t xml:space="preserve">V - </w:t>
            </w:r>
            <w:proofErr w:type="gramStart"/>
            <w:r w:rsidRPr="007943DC">
              <w:rPr>
                <w:rFonts w:ascii="Calibri" w:hAnsi="Calibri" w:cs="Calibri"/>
                <w:color w:val="000000"/>
                <w:sz w:val="22"/>
                <w:szCs w:val="22"/>
              </w:rPr>
              <w:t>plano</w:t>
            </w:r>
            <w:proofErr w:type="gramEnd"/>
            <w:r w:rsidRPr="007943DC">
              <w:rPr>
                <w:rFonts w:ascii="Calibri" w:hAnsi="Calibri" w:cs="Calibri"/>
                <w:color w:val="000000"/>
                <w:sz w:val="22"/>
                <w:szCs w:val="22"/>
              </w:rPr>
              <w:t xml:space="preserve"> de regularização de solvência (PRS): plano que deverá ser enviado à Susep pela supervisionada visando à recomposição da situação de solvência nos termos definidos na regulação específica;</w:t>
            </w:r>
          </w:p>
          <w:p w14:paraId="6EA75EAD" w14:textId="7C0F42F9" w:rsidR="007943DC" w:rsidRPr="007943DC" w:rsidRDefault="007943DC" w:rsidP="007943DC">
            <w:pPr>
              <w:jc w:val="both"/>
              <w:rPr>
                <w:rFonts w:ascii="Calibri" w:hAnsi="Calibri" w:cs="Calibri"/>
                <w:color w:val="000000"/>
                <w:sz w:val="22"/>
                <w:szCs w:val="22"/>
              </w:rPr>
            </w:pPr>
            <w:r w:rsidRPr="007943DC">
              <w:rPr>
                <w:rFonts w:ascii="Calibri" w:hAnsi="Calibri" w:cs="Calibri"/>
                <w:color w:val="000000"/>
                <w:sz w:val="22"/>
                <w:szCs w:val="22"/>
              </w:rPr>
              <w:t>..........................................................................</w:t>
            </w:r>
            <w:r w:rsidR="00234892">
              <w:rPr>
                <w:rFonts w:ascii="Calibri" w:hAnsi="Calibri" w:cs="Calibri"/>
                <w:color w:val="000000"/>
                <w:sz w:val="22"/>
                <w:szCs w:val="22"/>
              </w:rPr>
              <w:t>..............</w:t>
            </w:r>
          </w:p>
          <w:p w14:paraId="25E80291" w14:textId="77777777" w:rsidR="007943DC" w:rsidRPr="007943DC" w:rsidRDefault="007943DC" w:rsidP="007943DC">
            <w:pPr>
              <w:jc w:val="both"/>
              <w:rPr>
                <w:rFonts w:ascii="Calibri" w:hAnsi="Calibri" w:cs="Calibri"/>
                <w:color w:val="000000"/>
                <w:sz w:val="22"/>
                <w:szCs w:val="22"/>
              </w:rPr>
            </w:pPr>
          </w:p>
          <w:p w14:paraId="50B747EC" w14:textId="77777777" w:rsidR="007943DC" w:rsidRPr="007943DC" w:rsidRDefault="007943DC" w:rsidP="007943DC">
            <w:pPr>
              <w:jc w:val="both"/>
              <w:rPr>
                <w:rFonts w:ascii="Calibri" w:hAnsi="Calibri" w:cs="Calibri"/>
                <w:color w:val="000000"/>
                <w:sz w:val="22"/>
                <w:szCs w:val="22"/>
              </w:rPr>
            </w:pPr>
            <w:r w:rsidRPr="007943DC">
              <w:rPr>
                <w:rFonts w:ascii="Calibri" w:hAnsi="Calibri" w:cs="Calibri"/>
                <w:color w:val="000000"/>
                <w:sz w:val="22"/>
                <w:szCs w:val="22"/>
              </w:rPr>
              <w:t>VII - plano de regularização de suficiência de cobertura (PRC): plano que deverá ser enviado à Susep pela supervisionada visando à recomposição da situação de cobertura das provisões técnicas nos termos definidos na regulação específica; e</w:t>
            </w:r>
          </w:p>
          <w:p w14:paraId="224EFB02" w14:textId="77777777" w:rsidR="007943DC" w:rsidRPr="007943DC" w:rsidRDefault="007943DC" w:rsidP="007943DC">
            <w:pPr>
              <w:jc w:val="both"/>
              <w:rPr>
                <w:rFonts w:ascii="Calibri" w:hAnsi="Calibri" w:cs="Calibri"/>
                <w:color w:val="000000"/>
                <w:sz w:val="22"/>
                <w:szCs w:val="22"/>
              </w:rPr>
            </w:pPr>
          </w:p>
          <w:p w14:paraId="4B004023" w14:textId="77777777" w:rsidR="007943DC" w:rsidRPr="007943DC" w:rsidRDefault="007943DC" w:rsidP="007943DC">
            <w:pPr>
              <w:jc w:val="both"/>
              <w:rPr>
                <w:rFonts w:ascii="Calibri" w:hAnsi="Calibri" w:cs="Calibri"/>
                <w:color w:val="000000"/>
                <w:sz w:val="22"/>
                <w:szCs w:val="22"/>
              </w:rPr>
            </w:pPr>
            <w:r w:rsidRPr="007943DC">
              <w:rPr>
                <w:rFonts w:ascii="Calibri" w:hAnsi="Calibri" w:cs="Calibri"/>
                <w:color w:val="000000"/>
                <w:sz w:val="22"/>
                <w:szCs w:val="22"/>
              </w:rPr>
              <w:t xml:space="preserve">VIII - insuficiência de cobertura de provisões técnicas: insuficiência de ativo garantidor em relação ao montante de provisões técnicas subtraído do valor dos ativos redutores da necessidade de cobertura, </w:t>
            </w:r>
            <w:r w:rsidRPr="007943DC">
              <w:rPr>
                <w:rFonts w:ascii="Calibri" w:hAnsi="Calibri" w:cs="Calibri"/>
                <w:color w:val="000000"/>
                <w:sz w:val="22"/>
                <w:szCs w:val="22"/>
              </w:rPr>
              <w:lastRenderedPageBreak/>
              <w:t>desconsiderando o montante das provisões matemáticas de benefícios a conceder e dos seus correspondentes fundos de investimentos especialmente constituídos, relativos à planos abertos de previdência complementar e de seguros de pessoas com cobertura por sobrevivência cuja remuneração esteja calcada na rentabilidade de carteiras de investimentos durante o prazo de diferimento." (NR)</w:t>
            </w:r>
          </w:p>
          <w:p w14:paraId="63A95255" w14:textId="77777777" w:rsidR="007943DC" w:rsidRPr="007943DC" w:rsidRDefault="007943DC" w:rsidP="007943DC">
            <w:pPr>
              <w:jc w:val="both"/>
              <w:rPr>
                <w:rFonts w:ascii="Calibri" w:hAnsi="Calibri" w:cs="Calibri"/>
                <w:color w:val="000000"/>
                <w:sz w:val="22"/>
                <w:szCs w:val="22"/>
              </w:rPr>
            </w:pPr>
          </w:p>
          <w:p w14:paraId="27931560" w14:textId="77777777" w:rsidR="007943DC" w:rsidRDefault="007943DC" w:rsidP="00005C6E">
            <w:pPr>
              <w:jc w:val="both"/>
              <w:rPr>
                <w:rFonts w:ascii="Calibri" w:hAnsi="Calibri" w:cs="Calibri"/>
                <w:color w:val="000000"/>
                <w:sz w:val="22"/>
                <w:szCs w:val="22"/>
              </w:rPr>
            </w:pPr>
          </w:p>
        </w:tc>
        <w:tc>
          <w:tcPr>
            <w:tcW w:w="5245" w:type="dxa"/>
          </w:tcPr>
          <w:p w14:paraId="50A7DBB1" w14:textId="77777777" w:rsidR="007943DC" w:rsidRPr="0056460E" w:rsidRDefault="007943DC" w:rsidP="007632B3">
            <w:pPr>
              <w:jc w:val="center"/>
              <w:rPr>
                <w:rFonts w:asciiTheme="minorHAnsi" w:hAnsiTheme="minorHAnsi"/>
                <w:b/>
                <w:bCs/>
                <w:sz w:val="22"/>
                <w:szCs w:val="22"/>
              </w:rPr>
            </w:pPr>
          </w:p>
        </w:tc>
        <w:tc>
          <w:tcPr>
            <w:tcW w:w="5532" w:type="dxa"/>
          </w:tcPr>
          <w:p w14:paraId="52A3EAA5" w14:textId="77777777" w:rsidR="007943DC" w:rsidRPr="0056460E" w:rsidRDefault="007943DC" w:rsidP="007632B3">
            <w:pPr>
              <w:jc w:val="center"/>
              <w:rPr>
                <w:rFonts w:asciiTheme="minorHAnsi" w:hAnsiTheme="minorHAnsi"/>
                <w:b/>
                <w:bCs/>
                <w:sz w:val="22"/>
                <w:szCs w:val="22"/>
              </w:rPr>
            </w:pPr>
          </w:p>
        </w:tc>
      </w:tr>
      <w:tr w:rsidR="007943DC" w:rsidRPr="0056460E" w14:paraId="160CCC9D" w14:textId="77777777" w:rsidTr="007632B3">
        <w:trPr>
          <w:trHeight w:val="862"/>
        </w:trPr>
        <w:tc>
          <w:tcPr>
            <w:tcW w:w="5104" w:type="dxa"/>
          </w:tcPr>
          <w:p w14:paraId="088C9CFF" w14:textId="77777777" w:rsidR="007943DC" w:rsidRPr="007943DC" w:rsidRDefault="007943DC" w:rsidP="007943DC">
            <w:pPr>
              <w:jc w:val="both"/>
              <w:rPr>
                <w:rFonts w:ascii="Calibri" w:hAnsi="Calibri" w:cs="Calibri"/>
                <w:color w:val="000000"/>
                <w:sz w:val="22"/>
                <w:szCs w:val="22"/>
              </w:rPr>
            </w:pPr>
            <w:r w:rsidRPr="007943DC">
              <w:rPr>
                <w:rFonts w:ascii="Calibri" w:hAnsi="Calibri" w:cs="Calibri"/>
                <w:color w:val="000000"/>
                <w:sz w:val="22"/>
                <w:szCs w:val="22"/>
              </w:rPr>
              <w:t>“Art. 93.  O PRS ou o PRC, conforme o caso, deverá ser aprovado pela diretoria e, se houver, pelo conselho de administração ou pelo conselho deliberativo da supervisionada, anteriormente ao envio à Susep.</w:t>
            </w:r>
          </w:p>
          <w:p w14:paraId="156F8688" w14:textId="77777777" w:rsidR="007943DC" w:rsidRPr="007943DC" w:rsidRDefault="007943DC" w:rsidP="007943DC">
            <w:pPr>
              <w:jc w:val="both"/>
              <w:rPr>
                <w:rFonts w:ascii="Calibri" w:hAnsi="Calibri" w:cs="Calibri"/>
                <w:color w:val="000000"/>
                <w:sz w:val="22"/>
                <w:szCs w:val="22"/>
              </w:rPr>
            </w:pPr>
          </w:p>
          <w:p w14:paraId="7288C31B" w14:textId="77777777" w:rsidR="007943DC" w:rsidRPr="007943DC" w:rsidRDefault="007943DC" w:rsidP="007943DC">
            <w:pPr>
              <w:jc w:val="both"/>
              <w:rPr>
                <w:rFonts w:ascii="Calibri" w:hAnsi="Calibri" w:cs="Calibri"/>
                <w:color w:val="000000"/>
                <w:sz w:val="22"/>
                <w:szCs w:val="22"/>
              </w:rPr>
            </w:pPr>
            <w:r w:rsidRPr="007943DC">
              <w:rPr>
                <w:rFonts w:ascii="Calibri" w:hAnsi="Calibri" w:cs="Calibri"/>
                <w:color w:val="000000"/>
                <w:sz w:val="22"/>
                <w:szCs w:val="22"/>
              </w:rPr>
              <w:t xml:space="preserve">§ 1º O PRS ou o PRC, conforme o caso, deverá haver manifestação expressa de que o plano foi aprovado pelos órgãos competentes da administração da supervisionada, nos termos do </w:t>
            </w:r>
            <w:r w:rsidRPr="0035706D">
              <w:rPr>
                <w:rFonts w:ascii="Calibri" w:hAnsi="Calibri" w:cs="Calibri"/>
                <w:b/>
                <w:color w:val="000000"/>
                <w:sz w:val="22"/>
                <w:szCs w:val="22"/>
              </w:rPr>
              <w:t>caput</w:t>
            </w:r>
            <w:r w:rsidRPr="007943DC">
              <w:rPr>
                <w:rFonts w:ascii="Calibri" w:hAnsi="Calibri" w:cs="Calibri"/>
                <w:color w:val="000000"/>
                <w:sz w:val="22"/>
                <w:szCs w:val="22"/>
              </w:rPr>
              <w:t>.</w:t>
            </w:r>
          </w:p>
          <w:p w14:paraId="03B1C964" w14:textId="77777777" w:rsidR="007943DC" w:rsidRPr="007943DC" w:rsidRDefault="007943DC" w:rsidP="007943DC">
            <w:pPr>
              <w:jc w:val="both"/>
              <w:rPr>
                <w:rFonts w:ascii="Calibri" w:hAnsi="Calibri" w:cs="Calibri"/>
                <w:color w:val="000000"/>
                <w:sz w:val="22"/>
                <w:szCs w:val="22"/>
              </w:rPr>
            </w:pPr>
          </w:p>
          <w:p w14:paraId="5687A811" w14:textId="77777777" w:rsidR="007943DC" w:rsidRPr="007943DC" w:rsidRDefault="007943DC" w:rsidP="007943DC">
            <w:pPr>
              <w:jc w:val="both"/>
              <w:rPr>
                <w:rFonts w:ascii="Calibri" w:hAnsi="Calibri" w:cs="Calibri"/>
                <w:color w:val="000000"/>
                <w:sz w:val="22"/>
                <w:szCs w:val="22"/>
              </w:rPr>
            </w:pPr>
            <w:r w:rsidRPr="007943DC">
              <w:rPr>
                <w:rFonts w:ascii="Calibri" w:hAnsi="Calibri" w:cs="Calibri"/>
                <w:color w:val="000000"/>
                <w:sz w:val="22"/>
                <w:szCs w:val="22"/>
              </w:rPr>
              <w:t>§ 2º A supervisionada deverá encaminhar à Susep, em conjunto com o PRS ou com o PRC, conforme o caso, a ata da reunião da diretoria e, se houver, do conselho de administração ou do conselho deliberativo que aprovou o correspondente plano.</w:t>
            </w:r>
          </w:p>
          <w:p w14:paraId="2D476A7F" w14:textId="77777777" w:rsidR="007943DC" w:rsidRPr="007943DC" w:rsidRDefault="007943DC" w:rsidP="007943DC">
            <w:pPr>
              <w:jc w:val="both"/>
              <w:rPr>
                <w:rFonts w:ascii="Calibri" w:hAnsi="Calibri" w:cs="Calibri"/>
                <w:color w:val="000000"/>
                <w:sz w:val="22"/>
                <w:szCs w:val="22"/>
              </w:rPr>
            </w:pPr>
          </w:p>
          <w:p w14:paraId="27CD4735" w14:textId="77777777" w:rsidR="007943DC" w:rsidRPr="007943DC" w:rsidRDefault="007943DC" w:rsidP="007943DC">
            <w:pPr>
              <w:jc w:val="both"/>
              <w:rPr>
                <w:rFonts w:ascii="Calibri" w:hAnsi="Calibri" w:cs="Calibri"/>
                <w:color w:val="000000"/>
                <w:sz w:val="22"/>
                <w:szCs w:val="22"/>
              </w:rPr>
            </w:pPr>
            <w:r w:rsidRPr="007943DC">
              <w:rPr>
                <w:rFonts w:ascii="Calibri" w:hAnsi="Calibri" w:cs="Calibri"/>
                <w:color w:val="000000"/>
                <w:sz w:val="22"/>
                <w:szCs w:val="22"/>
              </w:rPr>
              <w:t>§ 3º O PRS ou o PRC, conforme o caso, deverá ser assinado pela autoridade executiva máxima da supervisionada.</w:t>
            </w:r>
          </w:p>
          <w:p w14:paraId="09317128" w14:textId="77777777" w:rsidR="007943DC" w:rsidRPr="007943DC" w:rsidRDefault="007943DC" w:rsidP="007943DC">
            <w:pPr>
              <w:jc w:val="both"/>
              <w:rPr>
                <w:rFonts w:ascii="Calibri" w:hAnsi="Calibri" w:cs="Calibri"/>
                <w:color w:val="000000"/>
                <w:sz w:val="22"/>
                <w:szCs w:val="22"/>
              </w:rPr>
            </w:pPr>
          </w:p>
          <w:p w14:paraId="48CEC826" w14:textId="77777777" w:rsidR="007943DC" w:rsidRPr="007943DC" w:rsidRDefault="007943DC" w:rsidP="007943DC">
            <w:pPr>
              <w:jc w:val="both"/>
              <w:rPr>
                <w:rFonts w:ascii="Calibri" w:hAnsi="Calibri" w:cs="Calibri"/>
                <w:color w:val="000000"/>
                <w:sz w:val="22"/>
                <w:szCs w:val="22"/>
              </w:rPr>
            </w:pPr>
            <w:r w:rsidRPr="007943DC">
              <w:rPr>
                <w:rFonts w:ascii="Calibri" w:hAnsi="Calibri" w:cs="Calibri"/>
                <w:color w:val="000000"/>
                <w:sz w:val="22"/>
                <w:szCs w:val="22"/>
              </w:rPr>
              <w:t xml:space="preserve">§ 4º Os órgãos competentes da administração, identificados no </w:t>
            </w:r>
            <w:r w:rsidRPr="0035706D">
              <w:rPr>
                <w:rFonts w:ascii="Calibri" w:hAnsi="Calibri" w:cs="Calibri"/>
                <w:b/>
                <w:color w:val="000000"/>
                <w:sz w:val="22"/>
                <w:szCs w:val="22"/>
              </w:rPr>
              <w:t>caput</w:t>
            </w:r>
            <w:r w:rsidRPr="007943DC">
              <w:rPr>
                <w:rFonts w:ascii="Calibri" w:hAnsi="Calibri" w:cs="Calibri"/>
                <w:color w:val="000000"/>
                <w:sz w:val="22"/>
                <w:szCs w:val="22"/>
              </w:rPr>
              <w:t>, deverão manifestar, no PRS ou no PRC, expresso conhecimento de que, em caso de rejeição pela segunda vez ou de não cumprimento do plano, a supervisionada estará sujeita ao regime especial de direção fiscal, mesmo que apresente uma insuficiência do PLA em relação ao CMR inferior a 50% (cinquenta por cento), quando se tratar de PRS.</w:t>
            </w:r>
          </w:p>
          <w:p w14:paraId="3FE1319F" w14:textId="77777777" w:rsidR="007943DC" w:rsidRPr="007943DC" w:rsidRDefault="007943DC" w:rsidP="007943DC">
            <w:pPr>
              <w:jc w:val="both"/>
              <w:rPr>
                <w:rFonts w:ascii="Calibri" w:hAnsi="Calibri" w:cs="Calibri"/>
                <w:color w:val="000000"/>
                <w:sz w:val="22"/>
                <w:szCs w:val="22"/>
              </w:rPr>
            </w:pPr>
          </w:p>
          <w:p w14:paraId="6074BF60" w14:textId="77777777" w:rsidR="007943DC" w:rsidRDefault="007943DC" w:rsidP="007943DC">
            <w:pPr>
              <w:jc w:val="both"/>
              <w:rPr>
                <w:rFonts w:ascii="Calibri" w:hAnsi="Calibri" w:cs="Calibri"/>
                <w:color w:val="000000"/>
                <w:sz w:val="22"/>
                <w:szCs w:val="22"/>
              </w:rPr>
            </w:pPr>
            <w:r w:rsidRPr="007943DC">
              <w:rPr>
                <w:rFonts w:ascii="Calibri" w:hAnsi="Calibri" w:cs="Calibri"/>
                <w:color w:val="000000"/>
                <w:sz w:val="22"/>
                <w:szCs w:val="22"/>
              </w:rPr>
              <w:lastRenderedPageBreak/>
              <w:t xml:space="preserve">§ 5º As exigências do </w:t>
            </w:r>
            <w:r w:rsidRPr="0035706D">
              <w:rPr>
                <w:rFonts w:ascii="Calibri" w:hAnsi="Calibri" w:cs="Calibri"/>
                <w:b/>
                <w:color w:val="000000"/>
                <w:sz w:val="22"/>
                <w:szCs w:val="22"/>
              </w:rPr>
              <w:t>caput</w:t>
            </w:r>
            <w:r w:rsidRPr="007943DC">
              <w:rPr>
                <w:rFonts w:ascii="Calibri" w:hAnsi="Calibri" w:cs="Calibri"/>
                <w:color w:val="000000"/>
                <w:sz w:val="22"/>
                <w:szCs w:val="22"/>
              </w:rPr>
              <w:t xml:space="preserve"> e dos seus parágrafos aplicam-se igualmente às revisões do PRS ou do PRC. “ (NR)</w:t>
            </w:r>
          </w:p>
          <w:p w14:paraId="0CA942A7" w14:textId="3D39761B" w:rsidR="007943DC" w:rsidRDefault="007943DC" w:rsidP="007943DC">
            <w:pPr>
              <w:jc w:val="both"/>
              <w:rPr>
                <w:rFonts w:ascii="Calibri" w:hAnsi="Calibri" w:cs="Calibri"/>
                <w:color w:val="000000"/>
                <w:sz w:val="22"/>
                <w:szCs w:val="22"/>
              </w:rPr>
            </w:pPr>
          </w:p>
        </w:tc>
        <w:tc>
          <w:tcPr>
            <w:tcW w:w="5245" w:type="dxa"/>
          </w:tcPr>
          <w:p w14:paraId="546EB03F" w14:textId="77777777" w:rsidR="007943DC" w:rsidRPr="0056460E" w:rsidRDefault="007943DC" w:rsidP="007632B3">
            <w:pPr>
              <w:jc w:val="center"/>
              <w:rPr>
                <w:rFonts w:asciiTheme="minorHAnsi" w:hAnsiTheme="minorHAnsi"/>
                <w:b/>
                <w:bCs/>
                <w:sz w:val="22"/>
                <w:szCs w:val="22"/>
              </w:rPr>
            </w:pPr>
          </w:p>
        </w:tc>
        <w:tc>
          <w:tcPr>
            <w:tcW w:w="5532" w:type="dxa"/>
          </w:tcPr>
          <w:p w14:paraId="356C47D7" w14:textId="77777777" w:rsidR="007943DC" w:rsidRPr="0056460E" w:rsidRDefault="007943DC" w:rsidP="007632B3">
            <w:pPr>
              <w:jc w:val="center"/>
              <w:rPr>
                <w:rFonts w:asciiTheme="minorHAnsi" w:hAnsiTheme="minorHAnsi"/>
                <w:b/>
                <w:bCs/>
                <w:sz w:val="22"/>
                <w:szCs w:val="22"/>
              </w:rPr>
            </w:pPr>
          </w:p>
        </w:tc>
      </w:tr>
      <w:tr w:rsidR="007943DC" w:rsidRPr="0056460E" w14:paraId="5F1D03C8" w14:textId="77777777" w:rsidTr="007632B3">
        <w:trPr>
          <w:trHeight w:val="862"/>
        </w:trPr>
        <w:tc>
          <w:tcPr>
            <w:tcW w:w="5104" w:type="dxa"/>
          </w:tcPr>
          <w:p w14:paraId="5AC071EE" w14:textId="77777777" w:rsidR="007943DC" w:rsidRDefault="007943DC" w:rsidP="00005C6E">
            <w:pPr>
              <w:jc w:val="both"/>
              <w:rPr>
                <w:rFonts w:ascii="Calibri" w:hAnsi="Calibri" w:cs="Calibri"/>
                <w:color w:val="000000"/>
                <w:sz w:val="22"/>
                <w:szCs w:val="22"/>
              </w:rPr>
            </w:pPr>
            <w:r w:rsidRPr="007943DC">
              <w:rPr>
                <w:rFonts w:ascii="Calibri" w:hAnsi="Calibri" w:cs="Calibri"/>
                <w:color w:val="000000"/>
                <w:sz w:val="22"/>
                <w:szCs w:val="22"/>
              </w:rPr>
              <w:t>“Art. 94.  O PRS deverá conter, obrigatoriamente, o prazo em meses para o saneamento da insuficiência do PLA ou para o cumprimento do requisito de qualidade de cobertura do CMR, conforme o caso, além de metas trimestrais bem estabelecidas, respeitando os elementos mínimos do Anexo VIII.” (NR)</w:t>
            </w:r>
          </w:p>
          <w:p w14:paraId="7002A7D3" w14:textId="70AA926E" w:rsidR="007943DC" w:rsidRDefault="007943DC" w:rsidP="00005C6E">
            <w:pPr>
              <w:jc w:val="both"/>
              <w:rPr>
                <w:rFonts w:ascii="Calibri" w:hAnsi="Calibri" w:cs="Calibri"/>
                <w:color w:val="000000"/>
                <w:sz w:val="22"/>
                <w:szCs w:val="22"/>
              </w:rPr>
            </w:pPr>
          </w:p>
        </w:tc>
        <w:tc>
          <w:tcPr>
            <w:tcW w:w="5245" w:type="dxa"/>
          </w:tcPr>
          <w:p w14:paraId="30ED3F84" w14:textId="77777777" w:rsidR="007943DC" w:rsidRPr="0056460E" w:rsidRDefault="007943DC" w:rsidP="007632B3">
            <w:pPr>
              <w:jc w:val="center"/>
              <w:rPr>
                <w:rFonts w:asciiTheme="minorHAnsi" w:hAnsiTheme="minorHAnsi"/>
                <w:b/>
                <w:bCs/>
                <w:sz w:val="22"/>
                <w:szCs w:val="22"/>
              </w:rPr>
            </w:pPr>
          </w:p>
        </w:tc>
        <w:tc>
          <w:tcPr>
            <w:tcW w:w="5532" w:type="dxa"/>
          </w:tcPr>
          <w:p w14:paraId="18AA7A28" w14:textId="77777777" w:rsidR="007943DC" w:rsidRPr="0056460E" w:rsidRDefault="007943DC" w:rsidP="007632B3">
            <w:pPr>
              <w:jc w:val="center"/>
              <w:rPr>
                <w:rFonts w:asciiTheme="minorHAnsi" w:hAnsiTheme="minorHAnsi"/>
                <w:b/>
                <w:bCs/>
                <w:sz w:val="22"/>
                <w:szCs w:val="22"/>
              </w:rPr>
            </w:pPr>
          </w:p>
        </w:tc>
      </w:tr>
      <w:tr w:rsidR="007943DC" w:rsidRPr="0056460E" w14:paraId="1AA0C78B" w14:textId="77777777" w:rsidTr="007632B3">
        <w:trPr>
          <w:trHeight w:val="862"/>
        </w:trPr>
        <w:tc>
          <w:tcPr>
            <w:tcW w:w="5104" w:type="dxa"/>
          </w:tcPr>
          <w:p w14:paraId="5638F440" w14:textId="77777777" w:rsidR="007943DC" w:rsidRDefault="007943DC" w:rsidP="00005C6E">
            <w:pPr>
              <w:jc w:val="both"/>
              <w:rPr>
                <w:rFonts w:ascii="Calibri" w:hAnsi="Calibri" w:cs="Calibri"/>
                <w:color w:val="000000"/>
                <w:sz w:val="22"/>
                <w:szCs w:val="22"/>
              </w:rPr>
            </w:pPr>
            <w:r w:rsidRPr="007943DC">
              <w:rPr>
                <w:rFonts w:ascii="Calibri" w:hAnsi="Calibri" w:cs="Calibri"/>
                <w:color w:val="000000"/>
                <w:sz w:val="22"/>
                <w:szCs w:val="22"/>
              </w:rPr>
              <w:t xml:space="preserve">“Art. 94-A.  O PRC deverá conter, obrigatoriamente, o prazo em meses para a solução de suas insuficiências, além de metas mensais de redução do percentual de insuficiência de cobertura de provisões técnicas, respeitando os elementos mínimos do Anexo </w:t>
            </w:r>
            <w:proofErr w:type="gramStart"/>
            <w:r w:rsidRPr="007943DC">
              <w:rPr>
                <w:rFonts w:ascii="Calibri" w:hAnsi="Calibri" w:cs="Calibri"/>
                <w:color w:val="000000"/>
                <w:sz w:val="22"/>
                <w:szCs w:val="22"/>
              </w:rPr>
              <w:t>XV.“</w:t>
            </w:r>
            <w:proofErr w:type="gramEnd"/>
            <w:r w:rsidRPr="007943DC">
              <w:rPr>
                <w:rFonts w:ascii="Calibri" w:hAnsi="Calibri" w:cs="Calibri"/>
                <w:color w:val="000000"/>
                <w:sz w:val="22"/>
                <w:szCs w:val="22"/>
              </w:rPr>
              <w:t xml:space="preserve"> (NR)</w:t>
            </w:r>
          </w:p>
          <w:p w14:paraId="11049BF8" w14:textId="54EE54D3" w:rsidR="007943DC" w:rsidRDefault="007943DC" w:rsidP="00005C6E">
            <w:pPr>
              <w:jc w:val="both"/>
              <w:rPr>
                <w:rFonts w:ascii="Calibri" w:hAnsi="Calibri" w:cs="Calibri"/>
                <w:color w:val="000000"/>
                <w:sz w:val="22"/>
                <w:szCs w:val="22"/>
              </w:rPr>
            </w:pPr>
          </w:p>
        </w:tc>
        <w:tc>
          <w:tcPr>
            <w:tcW w:w="5245" w:type="dxa"/>
          </w:tcPr>
          <w:p w14:paraId="78E02DEA" w14:textId="77777777" w:rsidR="007943DC" w:rsidRPr="0056460E" w:rsidRDefault="007943DC" w:rsidP="007632B3">
            <w:pPr>
              <w:jc w:val="center"/>
              <w:rPr>
                <w:rFonts w:asciiTheme="minorHAnsi" w:hAnsiTheme="minorHAnsi"/>
                <w:b/>
                <w:bCs/>
                <w:sz w:val="22"/>
                <w:szCs w:val="22"/>
              </w:rPr>
            </w:pPr>
          </w:p>
        </w:tc>
        <w:tc>
          <w:tcPr>
            <w:tcW w:w="5532" w:type="dxa"/>
          </w:tcPr>
          <w:p w14:paraId="4B4E6C62" w14:textId="77777777" w:rsidR="007943DC" w:rsidRPr="0056460E" w:rsidRDefault="007943DC" w:rsidP="007632B3">
            <w:pPr>
              <w:jc w:val="center"/>
              <w:rPr>
                <w:rFonts w:asciiTheme="minorHAnsi" w:hAnsiTheme="minorHAnsi"/>
                <w:b/>
                <w:bCs/>
                <w:sz w:val="22"/>
                <w:szCs w:val="22"/>
              </w:rPr>
            </w:pPr>
          </w:p>
        </w:tc>
      </w:tr>
      <w:tr w:rsidR="007943DC" w:rsidRPr="0056460E" w14:paraId="2D452886" w14:textId="77777777" w:rsidTr="007632B3">
        <w:trPr>
          <w:trHeight w:val="862"/>
        </w:trPr>
        <w:tc>
          <w:tcPr>
            <w:tcW w:w="5104" w:type="dxa"/>
          </w:tcPr>
          <w:p w14:paraId="62ECAE2E" w14:textId="24779CA5" w:rsidR="007943DC" w:rsidRPr="007943DC" w:rsidRDefault="007943DC" w:rsidP="007943DC">
            <w:pPr>
              <w:jc w:val="both"/>
              <w:rPr>
                <w:rFonts w:ascii="Calibri" w:hAnsi="Calibri" w:cs="Calibri"/>
                <w:color w:val="000000"/>
                <w:sz w:val="22"/>
                <w:szCs w:val="22"/>
              </w:rPr>
            </w:pPr>
            <w:r w:rsidRPr="007943DC">
              <w:rPr>
                <w:rFonts w:ascii="Calibri" w:hAnsi="Calibri" w:cs="Calibri"/>
                <w:color w:val="000000"/>
                <w:sz w:val="22"/>
                <w:szCs w:val="22"/>
              </w:rPr>
              <w:t>“Art. 95.  ...............................................</w:t>
            </w:r>
            <w:r>
              <w:rPr>
                <w:rFonts w:ascii="Calibri" w:hAnsi="Calibri" w:cs="Calibri"/>
                <w:color w:val="000000"/>
                <w:sz w:val="22"/>
                <w:szCs w:val="22"/>
              </w:rPr>
              <w:t>.........................</w:t>
            </w:r>
            <w:r w:rsidRPr="007943DC">
              <w:rPr>
                <w:rFonts w:ascii="Calibri" w:hAnsi="Calibri" w:cs="Calibri"/>
                <w:color w:val="000000"/>
                <w:sz w:val="22"/>
                <w:szCs w:val="22"/>
              </w:rPr>
              <w:t>.</w:t>
            </w:r>
          </w:p>
          <w:p w14:paraId="2CE312F9" w14:textId="66A868A4" w:rsidR="007943DC" w:rsidRPr="007943DC" w:rsidRDefault="007943DC" w:rsidP="007943DC">
            <w:pPr>
              <w:jc w:val="both"/>
              <w:rPr>
                <w:rFonts w:ascii="Calibri" w:hAnsi="Calibri" w:cs="Calibri"/>
                <w:color w:val="000000"/>
                <w:sz w:val="22"/>
                <w:szCs w:val="22"/>
              </w:rPr>
            </w:pPr>
            <w:r w:rsidRPr="007943DC">
              <w:rPr>
                <w:rFonts w:ascii="Calibri" w:hAnsi="Calibri" w:cs="Calibri"/>
                <w:color w:val="000000"/>
                <w:sz w:val="22"/>
                <w:szCs w:val="22"/>
              </w:rPr>
              <w:t>........................................................................................</w:t>
            </w:r>
          </w:p>
          <w:p w14:paraId="1E5BA264" w14:textId="77777777" w:rsidR="007943DC" w:rsidRPr="007943DC" w:rsidRDefault="007943DC" w:rsidP="007943DC">
            <w:pPr>
              <w:jc w:val="both"/>
              <w:rPr>
                <w:rFonts w:ascii="Calibri" w:hAnsi="Calibri" w:cs="Calibri"/>
                <w:color w:val="000000"/>
                <w:sz w:val="22"/>
                <w:szCs w:val="22"/>
              </w:rPr>
            </w:pPr>
          </w:p>
          <w:p w14:paraId="3C719831" w14:textId="77777777" w:rsidR="007943DC" w:rsidRPr="007943DC" w:rsidRDefault="007943DC" w:rsidP="007943DC">
            <w:pPr>
              <w:jc w:val="both"/>
              <w:rPr>
                <w:rFonts w:ascii="Calibri" w:hAnsi="Calibri" w:cs="Calibri"/>
                <w:color w:val="000000"/>
                <w:sz w:val="22"/>
                <w:szCs w:val="22"/>
              </w:rPr>
            </w:pPr>
            <w:r w:rsidRPr="007943DC">
              <w:rPr>
                <w:rFonts w:ascii="Calibri" w:hAnsi="Calibri" w:cs="Calibri"/>
                <w:color w:val="000000"/>
                <w:sz w:val="22"/>
                <w:szCs w:val="22"/>
              </w:rPr>
              <w:t>III - não atingimento de duas metas trimestrais consecutivas de redução do percentual de insuficiência do PLA em relação ao CMR ou de ajuste para cumprimento do requisito de qualidade de cobertura do CMR, estabelecidas no correspondente plano;</w:t>
            </w:r>
          </w:p>
          <w:p w14:paraId="293840A0" w14:textId="2668DB12" w:rsidR="007943DC" w:rsidRPr="007943DC" w:rsidRDefault="007943DC" w:rsidP="007943DC">
            <w:pPr>
              <w:jc w:val="both"/>
              <w:rPr>
                <w:rFonts w:ascii="Calibri" w:hAnsi="Calibri" w:cs="Calibri"/>
                <w:color w:val="000000"/>
                <w:sz w:val="22"/>
                <w:szCs w:val="22"/>
              </w:rPr>
            </w:pPr>
            <w:r w:rsidRPr="007943DC">
              <w:rPr>
                <w:rFonts w:ascii="Calibri" w:hAnsi="Calibri" w:cs="Calibri"/>
                <w:color w:val="000000"/>
                <w:sz w:val="22"/>
                <w:szCs w:val="22"/>
              </w:rPr>
              <w:t>..............................................</w:t>
            </w:r>
            <w:r>
              <w:rPr>
                <w:rFonts w:ascii="Calibri" w:hAnsi="Calibri" w:cs="Calibri"/>
                <w:color w:val="000000"/>
                <w:sz w:val="22"/>
                <w:szCs w:val="22"/>
              </w:rPr>
              <w:t>..........................................</w:t>
            </w:r>
          </w:p>
          <w:p w14:paraId="6E1403A1" w14:textId="77777777" w:rsidR="007943DC" w:rsidRPr="007943DC" w:rsidRDefault="007943DC" w:rsidP="007943DC">
            <w:pPr>
              <w:jc w:val="both"/>
              <w:rPr>
                <w:rFonts w:ascii="Calibri" w:hAnsi="Calibri" w:cs="Calibri"/>
                <w:color w:val="000000"/>
                <w:sz w:val="22"/>
                <w:szCs w:val="22"/>
              </w:rPr>
            </w:pPr>
          </w:p>
          <w:p w14:paraId="1FA909B3" w14:textId="77777777" w:rsidR="007943DC" w:rsidRDefault="007943DC" w:rsidP="007943DC">
            <w:pPr>
              <w:jc w:val="both"/>
              <w:rPr>
                <w:rFonts w:ascii="Calibri" w:hAnsi="Calibri" w:cs="Calibri"/>
                <w:color w:val="000000"/>
                <w:sz w:val="22"/>
                <w:szCs w:val="22"/>
              </w:rPr>
            </w:pPr>
            <w:r w:rsidRPr="007943DC">
              <w:rPr>
                <w:rFonts w:ascii="Calibri" w:hAnsi="Calibri" w:cs="Calibri"/>
                <w:color w:val="000000"/>
                <w:sz w:val="22"/>
                <w:szCs w:val="22"/>
              </w:rPr>
              <w:t xml:space="preserve">V - </w:t>
            </w:r>
            <w:proofErr w:type="gramStart"/>
            <w:r w:rsidRPr="007943DC">
              <w:rPr>
                <w:rFonts w:ascii="Calibri" w:hAnsi="Calibri" w:cs="Calibri"/>
                <w:color w:val="000000"/>
                <w:sz w:val="22"/>
                <w:szCs w:val="22"/>
              </w:rPr>
              <w:t>não</w:t>
            </w:r>
            <w:proofErr w:type="gramEnd"/>
            <w:r w:rsidRPr="007943DC">
              <w:rPr>
                <w:rFonts w:ascii="Calibri" w:hAnsi="Calibri" w:cs="Calibri"/>
                <w:color w:val="000000"/>
                <w:sz w:val="22"/>
                <w:szCs w:val="22"/>
              </w:rPr>
              <w:t xml:space="preserve"> observância aos limites necessários para o cumprimento do requisito de qualidade de cobertura do CMR ao final do prazo estabelecido no correspondente plano." (NR)</w:t>
            </w:r>
          </w:p>
          <w:p w14:paraId="453D8549" w14:textId="10DC1899" w:rsidR="007943DC" w:rsidRDefault="007943DC" w:rsidP="007943DC">
            <w:pPr>
              <w:jc w:val="both"/>
              <w:rPr>
                <w:rFonts w:ascii="Calibri" w:hAnsi="Calibri" w:cs="Calibri"/>
                <w:color w:val="000000"/>
                <w:sz w:val="22"/>
                <w:szCs w:val="22"/>
              </w:rPr>
            </w:pPr>
          </w:p>
        </w:tc>
        <w:tc>
          <w:tcPr>
            <w:tcW w:w="5245" w:type="dxa"/>
          </w:tcPr>
          <w:p w14:paraId="642F0BFF" w14:textId="77777777" w:rsidR="007943DC" w:rsidRPr="0056460E" w:rsidRDefault="007943DC" w:rsidP="007632B3">
            <w:pPr>
              <w:jc w:val="center"/>
              <w:rPr>
                <w:rFonts w:asciiTheme="minorHAnsi" w:hAnsiTheme="minorHAnsi"/>
                <w:b/>
                <w:bCs/>
                <w:sz w:val="22"/>
                <w:szCs w:val="22"/>
              </w:rPr>
            </w:pPr>
          </w:p>
        </w:tc>
        <w:tc>
          <w:tcPr>
            <w:tcW w:w="5532" w:type="dxa"/>
          </w:tcPr>
          <w:p w14:paraId="7BEC249A" w14:textId="77777777" w:rsidR="007943DC" w:rsidRPr="0056460E" w:rsidRDefault="007943DC" w:rsidP="007632B3">
            <w:pPr>
              <w:jc w:val="center"/>
              <w:rPr>
                <w:rFonts w:asciiTheme="minorHAnsi" w:hAnsiTheme="minorHAnsi"/>
                <w:b/>
                <w:bCs/>
                <w:sz w:val="22"/>
                <w:szCs w:val="22"/>
              </w:rPr>
            </w:pPr>
          </w:p>
        </w:tc>
      </w:tr>
      <w:tr w:rsidR="007943DC" w:rsidRPr="0056460E" w14:paraId="7465238C" w14:textId="77777777" w:rsidTr="007632B3">
        <w:trPr>
          <w:trHeight w:val="862"/>
        </w:trPr>
        <w:tc>
          <w:tcPr>
            <w:tcW w:w="5104" w:type="dxa"/>
          </w:tcPr>
          <w:p w14:paraId="533E8B2C" w14:textId="1D34F273" w:rsidR="007943DC" w:rsidRDefault="007943DC" w:rsidP="00005C6E">
            <w:pPr>
              <w:jc w:val="both"/>
              <w:rPr>
                <w:rFonts w:ascii="Calibri" w:hAnsi="Calibri" w:cs="Calibri"/>
                <w:color w:val="000000"/>
                <w:sz w:val="22"/>
                <w:szCs w:val="22"/>
              </w:rPr>
            </w:pPr>
            <w:r>
              <w:rPr>
                <w:rFonts w:ascii="Calibri" w:hAnsi="Calibri" w:cs="Calibri"/>
                <w:color w:val="000000"/>
                <w:sz w:val="22"/>
                <w:szCs w:val="22"/>
              </w:rPr>
              <w:t>“Art. 96. A insuficiência de cobertura de provisões técnicas, ao final do prazo estabelecido no c</w:t>
            </w:r>
            <w:r w:rsidR="007C4D10">
              <w:rPr>
                <w:rFonts w:ascii="Calibri" w:hAnsi="Calibri" w:cs="Calibri"/>
                <w:color w:val="000000"/>
                <w:sz w:val="22"/>
                <w:szCs w:val="22"/>
              </w:rPr>
              <w:t xml:space="preserve">orrespondente plano, caracteriza </w:t>
            </w:r>
            <w:r>
              <w:rPr>
                <w:rFonts w:ascii="Calibri" w:hAnsi="Calibri" w:cs="Calibri"/>
                <w:color w:val="000000"/>
                <w:sz w:val="22"/>
                <w:szCs w:val="22"/>
              </w:rPr>
              <w:t>o não cumprimento do PRC." (NR)</w:t>
            </w:r>
          </w:p>
          <w:p w14:paraId="1166313A" w14:textId="4C3CCAD8" w:rsidR="007943DC" w:rsidRDefault="007943DC" w:rsidP="00005C6E">
            <w:pPr>
              <w:jc w:val="both"/>
              <w:rPr>
                <w:rFonts w:ascii="Calibri" w:hAnsi="Calibri" w:cs="Calibri"/>
                <w:color w:val="000000"/>
                <w:sz w:val="22"/>
                <w:szCs w:val="22"/>
              </w:rPr>
            </w:pPr>
          </w:p>
        </w:tc>
        <w:tc>
          <w:tcPr>
            <w:tcW w:w="5245" w:type="dxa"/>
          </w:tcPr>
          <w:p w14:paraId="187B39F1" w14:textId="77777777" w:rsidR="007943DC" w:rsidRPr="0056460E" w:rsidRDefault="007943DC" w:rsidP="007632B3">
            <w:pPr>
              <w:jc w:val="center"/>
              <w:rPr>
                <w:rFonts w:asciiTheme="minorHAnsi" w:hAnsiTheme="minorHAnsi"/>
                <w:b/>
                <w:bCs/>
                <w:sz w:val="22"/>
                <w:szCs w:val="22"/>
              </w:rPr>
            </w:pPr>
          </w:p>
        </w:tc>
        <w:tc>
          <w:tcPr>
            <w:tcW w:w="5532" w:type="dxa"/>
          </w:tcPr>
          <w:p w14:paraId="4A6A8B0C" w14:textId="77777777" w:rsidR="007943DC" w:rsidRPr="0056460E" w:rsidRDefault="007943DC" w:rsidP="007632B3">
            <w:pPr>
              <w:jc w:val="center"/>
              <w:rPr>
                <w:rFonts w:asciiTheme="minorHAnsi" w:hAnsiTheme="minorHAnsi"/>
                <w:b/>
                <w:bCs/>
                <w:sz w:val="22"/>
                <w:szCs w:val="22"/>
              </w:rPr>
            </w:pPr>
          </w:p>
        </w:tc>
      </w:tr>
      <w:tr w:rsidR="007943DC" w:rsidRPr="0056460E" w14:paraId="6DDE1B47" w14:textId="77777777" w:rsidTr="007632B3">
        <w:trPr>
          <w:trHeight w:val="862"/>
        </w:trPr>
        <w:tc>
          <w:tcPr>
            <w:tcW w:w="5104" w:type="dxa"/>
          </w:tcPr>
          <w:p w14:paraId="0CC73DE0" w14:textId="2866C3C3" w:rsidR="007943DC" w:rsidRPr="007943DC" w:rsidRDefault="007943DC" w:rsidP="007943DC">
            <w:pPr>
              <w:jc w:val="both"/>
              <w:rPr>
                <w:rFonts w:ascii="Calibri" w:hAnsi="Calibri" w:cs="Calibri"/>
                <w:color w:val="000000"/>
                <w:sz w:val="22"/>
                <w:szCs w:val="22"/>
              </w:rPr>
            </w:pPr>
            <w:r w:rsidRPr="007943DC">
              <w:rPr>
                <w:rFonts w:ascii="Calibri" w:hAnsi="Calibri" w:cs="Calibri"/>
                <w:color w:val="000000"/>
                <w:sz w:val="22"/>
                <w:szCs w:val="22"/>
              </w:rPr>
              <w:t>“Art. 108-</w:t>
            </w:r>
            <w:proofErr w:type="gramStart"/>
            <w:r w:rsidRPr="007943DC">
              <w:rPr>
                <w:rFonts w:ascii="Calibri" w:hAnsi="Calibri" w:cs="Calibri"/>
                <w:color w:val="000000"/>
                <w:sz w:val="22"/>
                <w:szCs w:val="22"/>
              </w:rPr>
              <w:t>B  ............................................................</w:t>
            </w:r>
            <w:r>
              <w:rPr>
                <w:rFonts w:ascii="Calibri" w:hAnsi="Calibri" w:cs="Calibri"/>
                <w:color w:val="000000"/>
                <w:sz w:val="22"/>
                <w:szCs w:val="22"/>
              </w:rPr>
              <w:t>.</w:t>
            </w:r>
            <w:r w:rsidR="00DF25D9">
              <w:rPr>
                <w:rFonts w:ascii="Calibri" w:hAnsi="Calibri" w:cs="Calibri"/>
                <w:color w:val="000000"/>
                <w:sz w:val="22"/>
                <w:szCs w:val="22"/>
              </w:rPr>
              <w:t>.......</w:t>
            </w:r>
            <w:proofErr w:type="gramEnd"/>
          </w:p>
          <w:p w14:paraId="7C5E17EF" w14:textId="0970CD23" w:rsidR="007943DC" w:rsidRPr="007943DC" w:rsidRDefault="007943DC" w:rsidP="007943DC">
            <w:pPr>
              <w:jc w:val="both"/>
              <w:rPr>
                <w:rFonts w:ascii="Calibri" w:hAnsi="Calibri" w:cs="Calibri"/>
                <w:color w:val="000000"/>
                <w:sz w:val="22"/>
                <w:szCs w:val="22"/>
              </w:rPr>
            </w:pPr>
            <w:r w:rsidRPr="007943DC">
              <w:rPr>
                <w:rFonts w:ascii="Calibri" w:hAnsi="Calibri" w:cs="Calibri"/>
                <w:color w:val="000000"/>
                <w:sz w:val="22"/>
                <w:szCs w:val="22"/>
              </w:rPr>
              <w:t>.................................................................................</w:t>
            </w:r>
            <w:r w:rsidR="00DF25D9">
              <w:rPr>
                <w:rFonts w:ascii="Calibri" w:hAnsi="Calibri" w:cs="Calibri"/>
                <w:color w:val="000000"/>
                <w:sz w:val="22"/>
                <w:szCs w:val="22"/>
              </w:rPr>
              <w:t>.......</w:t>
            </w:r>
          </w:p>
          <w:p w14:paraId="40C920CA" w14:textId="77777777" w:rsidR="007943DC" w:rsidRPr="007943DC" w:rsidRDefault="007943DC" w:rsidP="007943DC">
            <w:pPr>
              <w:jc w:val="both"/>
              <w:rPr>
                <w:rFonts w:ascii="Calibri" w:hAnsi="Calibri" w:cs="Calibri"/>
                <w:color w:val="000000"/>
                <w:sz w:val="22"/>
                <w:szCs w:val="22"/>
              </w:rPr>
            </w:pPr>
          </w:p>
          <w:p w14:paraId="18431DA5" w14:textId="77777777" w:rsidR="007943DC" w:rsidRDefault="007943DC" w:rsidP="007943DC">
            <w:pPr>
              <w:jc w:val="both"/>
              <w:rPr>
                <w:rFonts w:ascii="Calibri" w:hAnsi="Calibri" w:cs="Calibri"/>
                <w:color w:val="000000"/>
                <w:sz w:val="22"/>
                <w:szCs w:val="22"/>
              </w:rPr>
            </w:pPr>
            <w:r w:rsidRPr="007943DC">
              <w:rPr>
                <w:rFonts w:ascii="Calibri" w:hAnsi="Calibri" w:cs="Calibri"/>
                <w:color w:val="000000"/>
                <w:sz w:val="22"/>
                <w:szCs w:val="22"/>
              </w:rPr>
              <w:lastRenderedPageBreak/>
              <w:t>VIII - risco de liquidez: possibilidade da supervisionada não ser capaz de cumprir eficientemente suas obrigações financeiras, esperadas ou não, no momento em que forem devidas, seja pela impossibilidade de realizar tempestivamente seus ativos ou pelo fato de tal realização resultar em perdas significativas e/ou no descumprimento de requisitos regulatórios." (NR)</w:t>
            </w:r>
          </w:p>
          <w:p w14:paraId="4EECB037" w14:textId="7EFBADAF" w:rsidR="007943DC" w:rsidRDefault="007943DC" w:rsidP="007943DC">
            <w:pPr>
              <w:jc w:val="both"/>
              <w:rPr>
                <w:rFonts w:ascii="Calibri" w:hAnsi="Calibri" w:cs="Calibri"/>
                <w:color w:val="000000"/>
                <w:sz w:val="22"/>
                <w:szCs w:val="22"/>
              </w:rPr>
            </w:pPr>
          </w:p>
        </w:tc>
        <w:tc>
          <w:tcPr>
            <w:tcW w:w="5245" w:type="dxa"/>
          </w:tcPr>
          <w:p w14:paraId="69311947" w14:textId="77777777" w:rsidR="007943DC" w:rsidRPr="0056460E" w:rsidRDefault="007943DC" w:rsidP="007632B3">
            <w:pPr>
              <w:jc w:val="center"/>
              <w:rPr>
                <w:rFonts w:asciiTheme="minorHAnsi" w:hAnsiTheme="minorHAnsi"/>
                <w:b/>
                <w:bCs/>
                <w:sz w:val="22"/>
                <w:szCs w:val="22"/>
              </w:rPr>
            </w:pPr>
          </w:p>
        </w:tc>
        <w:tc>
          <w:tcPr>
            <w:tcW w:w="5532" w:type="dxa"/>
          </w:tcPr>
          <w:p w14:paraId="1BA396D5" w14:textId="77777777" w:rsidR="007943DC" w:rsidRPr="0056460E" w:rsidRDefault="007943DC" w:rsidP="007632B3">
            <w:pPr>
              <w:jc w:val="center"/>
              <w:rPr>
                <w:rFonts w:asciiTheme="minorHAnsi" w:hAnsiTheme="minorHAnsi"/>
                <w:b/>
                <w:bCs/>
                <w:sz w:val="22"/>
                <w:szCs w:val="22"/>
              </w:rPr>
            </w:pPr>
          </w:p>
        </w:tc>
      </w:tr>
      <w:tr w:rsidR="007943DC" w:rsidRPr="0056460E" w14:paraId="6FCD47D3" w14:textId="77777777" w:rsidTr="007632B3">
        <w:trPr>
          <w:trHeight w:val="862"/>
        </w:trPr>
        <w:tc>
          <w:tcPr>
            <w:tcW w:w="5104" w:type="dxa"/>
          </w:tcPr>
          <w:p w14:paraId="0119E2EE" w14:textId="69C12664" w:rsidR="007943DC" w:rsidRPr="007943DC" w:rsidRDefault="007943DC" w:rsidP="007943DC">
            <w:pPr>
              <w:jc w:val="both"/>
              <w:rPr>
                <w:rFonts w:ascii="Calibri" w:hAnsi="Calibri" w:cs="Calibri"/>
                <w:color w:val="000000"/>
                <w:sz w:val="22"/>
                <w:szCs w:val="22"/>
              </w:rPr>
            </w:pPr>
            <w:r w:rsidRPr="007943DC">
              <w:rPr>
                <w:rFonts w:ascii="Calibri" w:hAnsi="Calibri" w:cs="Calibri"/>
                <w:color w:val="000000"/>
                <w:sz w:val="22"/>
                <w:szCs w:val="22"/>
              </w:rPr>
              <w:t>“Art. 108-D.  .....................................</w:t>
            </w:r>
            <w:r>
              <w:rPr>
                <w:rFonts w:ascii="Calibri" w:hAnsi="Calibri" w:cs="Calibri"/>
                <w:color w:val="000000"/>
                <w:sz w:val="22"/>
                <w:szCs w:val="22"/>
              </w:rPr>
              <w:t>.............................</w:t>
            </w:r>
          </w:p>
          <w:p w14:paraId="3EE7C0F9" w14:textId="12948CB1" w:rsidR="007943DC" w:rsidRPr="007943DC" w:rsidRDefault="007943DC" w:rsidP="007943DC">
            <w:pPr>
              <w:jc w:val="both"/>
              <w:rPr>
                <w:rFonts w:ascii="Calibri" w:hAnsi="Calibri" w:cs="Calibri"/>
                <w:color w:val="000000"/>
                <w:sz w:val="22"/>
                <w:szCs w:val="22"/>
              </w:rPr>
            </w:pPr>
            <w:r w:rsidRPr="007943DC">
              <w:rPr>
                <w:rFonts w:ascii="Calibri" w:hAnsi="Calibri" w:cs="Calibri"/>
                <w:color w:val="000000"/>
                <w:sz w:val="22"/>
                <w:szCs w:val="22"/>
              </w:rPr>
              <w:t>........................................................</w:t>
            </w:r>
            <w:r>
              <w:rPr>
                <w:rFonts w:ascii="Calibri" w:hAnsi="Calibri" w:cs="Calibri"/>
                <w:color w:val="000000"/>
                <w:sz w:val="22"/>
                <w:szCs w:val="22"/>
              </w:rPr>
              <w:t>...............................</w:t>
            </w:r>
          </w:p>
          <w:p w14:paraId="5BE2ED24" w14:textId="77777777" w:rsidR="007943DC" w:rsidRPr="007943DC" w:rsidRDefault="007943DC" w:rsidP="007943DC">
            <w:pPr>
              <w:jc w:val="both"/>
              <w:rPr>
                <w:rFonts w:ascii="Calibri" w:hAnsi="Calibri" w:cs="Calibri"/>
                <w:color w:val="000000"/>
                <w:sz w:val="22"/>
                <w:szCs w:val="22"/>
              </w:rPr>
            </w:pPr>
          </w:p>
          <w:p w14:paraId="2BB0725E" w14:textId="77777777" w:rsidR="007943DC" w:rsidRPr="007943DC" w:rsidRDefault="007943DC" w:rsidP="007943DC">
            <w:pPr>
              <w:jc w:val="both"/>
              <w:rPr>
                <w:rFonts w:ascii="Calibri" w:hAnsi="Calibri" w:cs="Calibri"/>
                <w:color w:val="000000"/>
                <w:sz w:val="22"/>
                <w:szCs w:val="22"/>
              </w:rPr>
            </w:pPr>
            <w:r w:rsidRPr="007943DC">
              <w:rPr>
                <w:rFonts w:ascii="Calibri" w:hAnsi="Calibri" w:cs="Calibri"/>
                <w:color w:val="000000"/>
                <w:sz w:val="22"/>
                <w:szCs w:val="22"/>
              </w:rPr>
              <w:t>§ 1º .................................................................................</w:t>
            </w:r>
          </w:p>
          <w:p w14:paraId="2B205664" w14:textId="77777777" w:rsidR="007943DC" w:rsidRPr="007943DC" w:rsidRDefault="007943DC" w:rsidP="007943DC">
            <w:pPr>
              <w:jc w:val="both"/>
              <w:rPr>
                <w:rFonts w:ascii="Calibri" w:hAnsi="Calibri" w:cs="Calibri"/>
                <w:color w:val="000000"/>
                <w:sz w:val="22"/>
                <w:szCs w:val="22"/>
              </w:rPr>
            </w:pPr>
          </w:p>
          <w:p w14:paraId="129F16CB" w14:textId="77777777" w:rsidR="007943DC" w:rsidRPr="007943DC" w:rsidRDefault="007943DC" w:rsidP="007943DC">
            <w:pPr>
              <w:jc w:val="both"/>
              <w:rPr>
                <w:rFonts w:ascii="Calibri" w:hAnsi="Calibri" w:cs="Calibri"/>
                <w:color w:val="000000"/>
                <w:sz w:val="22"/>
                <w:szCs w:val="22"/>
              </w:rPr>
            </w:pPr>
            <w:r w:rsidRPr="007943DC">
              <w:rPr>
                <w:rFonts w:ascii="Calibri" w:hAnsi="Calibri" w:cs="Calibri"/>
                <w:color w:val="000000"/>
                <w:sz w:val="22"/>
                <w:szCs w:val="22"/>
              </w:rPr>
              <w:t xml:space="preserve">I - </w:t>
            </w:r>
            <w:proofErr w:type="gramStart"/>
            <w:r w:rsidRPr="007943DC">
              <w:rPr>
                <w:rFonts w:ascii="Calibri" w:hAnsi="Calibri" w:cs="Calibri"/>
                <w:color w:val="000000"/>
                <w:sz w:val="22"/>
                <w:szCs w:val="22"/>
              </w:rPr>
              <w:t>categorias</w:t>
            </w:r>
            <w:proofErr w:type="gramEnd"/>
            <w:r w:rsidRPr="007943DC">
              <w:rPr>
                <w:rFonts w:ascii="Calibri" w:hAnsi="Calibri" w:cs="Calibri"/>
                <w:color w:val="000000"/>
                <w:sz w:val="22"/>
                <w:szCs w:val="22"/>
              </w:rPr>
              <w:t xml:space="preserve"> de uso obrigatório: risco de subscrição, risco de mercado, risco de crédito e risco operacional, cujas definições seguem os conceitos estabelecidos nos normativos referentes ao cálculo dos capitais de risco, além do risco de liquidez;</w:t>
            </w:r>
          </w:p>
          <w:p w14:paraId="67E61CAB" w14:textId="137D7213" w:rsidR="007943DC" w:rsidRDefault="007943DC" w:rsidP="007943DC">
            <w:pPr>
              <w:jc w:val="both"/>
              <w:rPr>
                <w:rFonts w:ascii="Calibri" w:hAnsi="Calibri" w:cs="Calibri"/>
                <w:color w:val="000000"/>
                <w:sz w:val="22"/>
                <w:szCs w:val="22"/>
              </w:rPr>
            </w:pPr>
            <w:r w:rsidRPr="007943DC">
              <w:rPr>
                <w:rFonts w:ascii="Calibri" w:hAnsi="Calibri" w:cs="Calibri"/>
                <w:color w:val="000000"/>
                <w:sz w:val="22"/>
                <w:szCs w:val="22"/>
              </w:rPr>
              <w:t>..............................................</w:t>
            </w:r>
            <w:r>
              <w:rPr>
                <w:rFonts w:ascii="Calibri" w:hAnsi="Calibri" w:cs="Calibri"/>
                <w:color w:val="000000"/>
                <w:sz w:val="22"/>
                <w:szCs w:val="22"/>
              </w:rPr>
              <w:t>.</w:t>
            </w:r>
            <w:r w:rsidRPr="007943DC">
              <w:rPr>
                <w:rFonts w:ascii="Calibri" w:hAnsi="Calibri" w:cs="Calibri"/>
                <w:color w:val="000000"/>
                <w:sz w:val="22"/>
                <w:szCs w:val="22"/>
              </w:rPr>
              <w:t>......................................” (NR)</w:t>
            </w:r>
          </w:p>
          <w:p w14:paraId="6B3D569C" w14:textId="5D549BCF" w:rsidR="007943DC" w:rsidRDefault="007943DC" w:rsidP="007943DC">
            <w:pPr>
              <w:jc w:val="both"/>
              <w:rPr>
                <w:rFonts w:ascii="Calibri" w:hAnsi="Calibri" w:cs="Calibri"/>
                <w:color w:val="000000"/>
                <w:sz w:val="22"/>
                <w:szCs w:val="22"/>
              </w:rPr>
            </w:pPr>
          </w:p>
        </w:tc>
        <w:tc>
          <w:tcPr>
            <w:tcW w:w="5245" w:type="dxa"/>
          </w:tcPr>
          <w:p w14:paraId="2B30A23F" w14:textId="77777777" w:rsidR="007943DC" w:rsidRPr="0056460E" w:rsidRDefault="007943DC" w:rsidP="007632B3">
            <w:pPr>
              <w:jc w:val="center"/>
              <w:rPr>
                <w:rFonts w:asciiTheme="minorHAnsi" w:hAnsiTheme="minorHAnsi"/>
                <w:b/>
                <w:bCs/>
                <w:sz w:val="22"/>
                <w:szCs w:val="22"/>
              </w:rPr>
            </w:pPr>
          </w:p>
        </w:tc>
        <w:tc>
          <w:tcPr>
            <w:tcW w:w="5532" w:type="dxa"/>
          </w:tcPr>
          <w:p w14:paraId="03CD233B" w14:textId="77777777" w:rsidR="007943DC" w:rsidRPr="0056460E" w:rsidRDefault="007943DC" w:rsidP="007632B3">
            <w:pPr>
              <w:jc w:val="center"/>
              <w:rPr>
                <w:rFonts w:asciiTheme="minorHAnsi" w:hAnsiTheme="minorHAnsi"/>
                <w:b/>
                <w:bCs/>
                <w:sz w:val="22"/>
                <w:szCs w:val="22"/>
              </w:rPr>
            </w:pPr>
          </w:p>
        </w:tc>
      </w:tr>
      <w:tr w:rsidR="007943DC" w:rsidRPr="0056460E" w14:paraId="0F4E0B44" w14:textId="77777777" w:rsidTr="007632B3">
        <w:trPr>
          <w:trHeight w:val="862"/>
        </w:trPr>
        <w:tc>
          <w:tcPr>
            <w:tcW w:w="5104" w:type="dxa"/>
          </w:tcPr>
          <w:p w14:paraId="120971FC" w14:textId="389B4E13" w:rsidR="00BB5B7C" w:rsidRPr="00BB5B7C" w:rsidRDefault="00BB5B7C" w:rsidP="00BB5B7C">
            <w:pPr>
              <w:jc w:val="both"/>
              <w:rPr>
                <w:rFonts w:ascii="Calibri" w:hAnsi="Calibri" w:cs="Calibri"/>
                <w:color w:val="000000"/>
                <w:sz w:val="22"/>
                <w:szCs w:val="22"/>
              </w:rPr>
            </w:pPr>
            <w:r w:rsidRPr="00BB5B7C">
              <w:rPr>
                <w:rFonts w:ascii="Calibri" w:hAnsi="Calibri" w:cs="Calibri"/>
                <w:color w:val="000000"/>
                <w:sz w:val="22"/>
                <w:szCs w:val="22"/>
              </w:rPr>
              <w:t>“Art. 108-J.  ........................................</w:t>
            </w:r>
            <w:r>
              <w:rPr>
                <w:rFonts w:ascii="Calibri" w:hAnsi="Calibri" w:cs="Calibri"/>
                <w:color w:val="000000"/>
                <w:sz w:val="22"/>
                <w:szCs w:val="22"/>
              </w:rPr>
              <w:t>............................</w:t>
            </w:r>
          </w:p>
          <w:p w14:paraId="0F66896C" w14:textId="664F94E1" w:rsidR="00BB5B7C" w:rsidRPr="00BB5B7C" w:rsidRDefault="00BB5B7C" w:rsidP="00BB5B7C">
            <w:pPr>
              <w:jc w:val="both"/>
              <w:rPr>
                <w:rFonts w:ascii="Calibri" w:hAnsi="Calibri" w:cs="Calibri"/>
                <w:color w:val="000000"/>
                <w:sz w:val="22"/>
                <w:szCs w:val="22"/>
              </w:rPr>
            </w:pPr>
            <w:r w:rsidRPr="00BB5B7C">
              <w:rPr>
                <w:rFonts w:ascii="Calibri" w:hAnsi="Calibri" w:cs="Calibri"/>
                <w:color w:val="000000"/>
                <w:sz w:val="22"/>
                <w:szCs w:val="22"/>
              </w:rPr>
              <w:t>........................................................................................</w:t>
            </w:r>
          </w:p>
          <w:p w14:paraId="6BB2A28A" w14:textId="77777777" w:rsidR="00BB5B7C" w:rsidRPr="00BB5B7C" w:rsidRDefault="00BB5B7C" w:rsidP="00BB5B7C">
            <w:pPr>
              <w:jc w:val="both"/>
              <w:rPr>
                <w:rFonts w:ascii="Calibri" w:hAnsi="Calibri" w:cs="Calibri"/>
                <w:color w:val="000000"/>
                <w:sz w:val="22"/>
                <w:szCs w:val="22"/>
              </w:rPr>
            </w:pPr>
          </w:p>
          <w:p w14:paraId="3F126BB7" w14:textId="77777777" w:rsidR="00BB5B7C" w:rsidRPr="00BB5B7C" w:rsidRDefault="00BB5B7C" w:rsidP="00BB5B7C">
            <w:pPr>
              <w:jc w:val="both"/>
              <w:rPr>
                <w:rFonts w:ascii="Calibri" w:hAnsi="Calibri" w:cs="Calibri"/>
                <w:color w:val="000000"/>
                <w:sz w:val="22"/>
                <w:szCs w:val="22"/>
              </w:rPr>
            </w:pPr>
            <w:r w:rsidRPr="00BB5B7C">
              <w:rPr>
                <w:rFonts w:ascii="Calibri" w:hAnsi="Calibri" w:cs="Calibri"/>
                <w:color w:val="000000"/>
                <w:sz w:val="22"/>
                <w:szCs w:val="22"/>
              </w:rPr>
              <w:t xml:space="preserve">II - </w:t>
            </w:r>
            <w:proofErr w:type="gramStart"/>
            <w:r w:rsidRPr="00BB5B7C">
              <w:rPr>
                <w:rFonts w:ascii="Calibri" w:hAnsi="Calibri" w:cs="Calibri"/>
                <w:color w:val="000000"/>
                <w:sz w:val="22"/>
                <w:szCs w:val="22"/>
              </w:rPr>
              <w:t>de</w:t>
            </w:r>
            <w:proofErr w:type="gramEnd"/>
            <w:r w:rsidRPr="00BB5B7C">
              <w:rPr>
                <w:rFonts w:ascii="Calibri" w:hAnsi="Calibri" w:cs="Calibri"/>
                <w:color w:val="000000"/>
                <w:sz w:val="22"/>
                <w:szCs w:val="22"/>
              </w:rPr>
              <w:t xml:space="preserve"> forma quantitativa:</w:t>
            </w:r>
          </w:p>
          <w:p w14:paraId="40BB0E64" w14:textId="77777777" w:rsidR="00BB5B7C" w:rsidRPr="00BB5B7C" w:rsidRDefault="00BB5B7C" w:rsidP="00BB5B7C">
            <w:pPr>
              <w:jc w:val="both"/>
              <w:rPr>
                <w:rFonts w:ascii="Calibri" w:hAnsi="Calibri" w:cs="Calibri"/>
                <w:color w:val="000000"/>
                <w:sz w:val="22"/>
                <w:szCs w:val="22"/>
              </w:rPr>
            </w:pPr>
          </w:p>
          <w:p w14:paraId="785B2827" w14:textId="63EF16EE" w:rsidR="00BB5B7C" w:rsidRPr="00BB5B7C" w:rsidRDefault="00BB5B7C" w:rsidP="00BB5B7C">
            <w:pPr>
              <w:jc w:val="both"/>
              <w:rPr>
                <w:rFonts w:ascii="Calibri" w:hAnsi="Calibri" w:cs="Calibri"/>
                <w:color w:val="000000"/>
                <w:sz w:val="22"/>
                <w:szCs w:val="22"/>
              </w:rPr>
            </w:pPr>
            <w:r w:rsidRPr="00BB5B7C">
              <w:rPr>
                <w:rFonts w:ascii="Calibri" w:hAnsi="Calibri" w:cs="Calibri"/>
                <w:color w:val="000000"/>
                <w:sz w:val="22"/>
                <w:szCs w:val="22"/>
              </w:rPr>
              <w:t xml:space="preserve"> a) em nível global, a perda financeira ou de valor que considera aceitável frente aos riscos assumidos e a capacidade financeira da supervisionada; e</w:t>
            </w:r>
          </w:p>
          <w:p w14:paraId="5C2055E1" w14:textId="77777777" w:rsidR="00BB5B7C" w:rsidRPr="00BB5B7C" w:rsidRDefault="00BB5B7C" w:rsidP="00BB5B7C">
            <w:pPr>
              <w:jc w:val="both"/>
              <w:rPr>
                <w:rFonts w:ascii="Calibri" w:hAnsi="Calibri" w:cs="Calibri"/>
                <w:color w:val="000000"/>
                <w:sz w:val="22"/>
                <w:szCs w:val="22"/>
              </w:rPr>
            </w:pPr>
          </w:p>
          <w:p w14:paraId="70F0E2F5" w14:textId="77777777" w:rsidR="00BB5B7C" w:rsidRPr="00BB5B7C" w:rsidRDefault="00BB5B7C" w:rsidP="00BB5B7C">
            <w:pPr>
              <w:jc w:val="both"/>
              <w:rPr>
                <w:rFonts w:ascii="Calibri" w:hAnsi="Calibri" w:cs="Calibri"/>
                <w:color w:val="000000"/>
                <w:sz w:val="22"/>
                <w:szCs w:val="22"/>
              </w:rPr>
            </w:pPr>
            <w:r w:rsidRPr="00BB5B7C">
              <w:rPr>
                <w:rFonts w:ascii="Calibri" w:hAnsi="Calibri" w:cs="Calibri"/>
                <w:color w:val="000000"/>
                <w:sz w:val="22"/>
                <w:szCs w:val="22"/>
              </w:rPr>
              <w:t>b) pelo menos para as categorias de risco de uso obrigatório, mencionadas no art. 108-D, § 1º, inciso I, os limites de exposição considerados aceitáveis tendo em vista suas interdependências e o limite global a que se refere a alínea “a”.</w:t>
            </w:r>
          </w:p>
          <w:p w14:paraId="37B1CECE" w14:textId="4E30B215" w:rsidR="007943DC" w:rsidRDefault="00BB5B7C" w:rsidP="00BB5B7C">
            <w:pPr>
              <w:jc w:val="both"/>
              <w:rPr>
                <w:rFonts w:ascii="Calibri" w:hAnsi="Calibri" w:cs="Calibri"/>
                <w:color w:val="000000"/>
                <w:sz w:val="22"/>
                <w:szCs w:val="22"/>
              </w:rPr>
            </w:pPr>
            <w:r w:rsidRPr="00BB5B7C">
              <w:rPr>
                <w:rFonts w:ascii="Calibri" w:hAnsi="Calibri" w:cs="Calibri"/>
                <w:color w:val="000000"/>
                <w:sz w:val="22"/>
                <w:szCs w:val="22"/>
              </w:rPr>
              <w:t>........................................................</w:t>
            </w:r>
            <w:r>
              <w:rPr>
                <w:rFonts w:ascii="Calibri" w:hAnsi="Calibri" w:cs="Calibri"/>
                <w:color w:val="000000"/>
                <w:sz w:val="22"/>
                <w:szCs w:val="22"/>
              </w:rPr>
              <w:t>.....................</w:t>
            </w:r>
            <w:r w:rsidRPr="00BB5B7C">
              <w:rPr>
                <w:rFonts w:ascii="Calibri" w:hAnsi="Calibri" w:cs="Calibri"/>
                <w:color w:val="000000"/>
                <w:sz w:val="22"/>
                <w:szCs w:val="22"/>
              </w:rPr>
              <w:t>." (NR)</w:t>
            </w:r>
          </w:p>
          <w:p w14:paraId="243D9981" w14:textId="7C61316B" w:rsidR="00BB5B7C" w:rsidRDefault="00BB5B7C" w:rsidP="00BB5B7C">
            <w:pPr>
              <w:jc w:val="both"/>
              <w:rPr>
                <w:rFonts w:ascii="Calibri" w:hAnsi="Calibri" w:cs="Calibri"/>
                <w:color w:val="000000"/>
                <w:sz w:val="22"/>
                <w:szCs w:val="22"/>
              </w:rPr>
            </w:pPr>
          </w:p>
        </w:tc>
        <w:tc>
          <w:tcPr>
            <w:tcW w:w="5245" w:type="dxa"/>
          </w:tcPr>
          <w:p w14:paraId="6A36BCCF" w14:textId="77777777" w:rsidR="007943DC" w:rsidRPr="0056460E" w:rsidRDefault="007943DC" w:rsidP="007632B3">
            <w:pPr>
              <w:jc w:val="center"/>
              <w:rPr>
                <w:rFonts w:asciiTheme="minorHAnsi" w:hAnsiTheme="minorHAnsi"/>
                <w:b/>
                <w:bCs/>
                <w:sz w:val="22"/>
                <w:szCs w:val="22"/>
              </w:rPr>
            </w:pPr>
          </w:p>
        </w:tc>
        <w:tc>
          <w:tcPr>
            <w:tcW w:w="5532" w:type="dxa"/>
          </w:tcPr>
          <w:p w14:paraId="50F62DF6" w14:textId="77777777" w:rsidR="007943DC" w:rsidRPr="0056460E" w:rsidRDefault="007943DC" w:rsidP="007632B3">
            <w:pPr>
              <w:jc w:val="center"/>
              <w:rPr>
                <w:rFonts w:asciiTheme="minorHAnsi" w:hAnsiTheme="minorHAnsi"/>
                <w:b/>
                <w:bCs/>
                <w:sz w:val="22"/>
                <w:szCs w:val="22"/>
              </w:rPr>
            </w:pPr>
          </w:p>
        </w:tc>
      </w:tr>
      <w:tr w:rsidR="007943DC" w:rsidRPr="0056460E" w14:paraId="4B0EF11A" w14:textId="77777777" w:rsidTr="007632B3">
        <w:trPr>
          <w:trHeight w:val="862"/>
        </w:trPr>
        <w:tc>
          <w:tcPr>
            <w:tcW w:w="5104" w:type="dxa"/>
          </w:tcPr>
          <w:p w14:paraId="4E932D7D" w14:textId="370B4F8B" w:rsidR="00BB5B7C" w:rsidRPr="00BB5B7C" w:rsidRDefault="00BB5B7C" w:rsidP="00BB5B7C">
            <w:pPr>
              <w:jc w:val="both"/>
              <w:rPr>
                <w:rFonts w:ascii="Calibri" w:hAnsi="Calibri" w:cs="Calibri"/>
                <w:color w:val="000000"/>
                <w:sz w:val="22"/>
                <w:szCs w:val="22"/>
              </w:rPr>
            </w:pPr>
            <w:r w:rsidRPr="00BB5B7C">
              <w:rPr>
                <w:rFonts w:ascii="Calibri" w:hAnsi="Calibri" w:cs="Calibri"/>
                <w:color w:val="000000"/>
                <w:sz w:val="22"/>
                <w:szCs w:val="22"/>
              </w:rPr>
              <w:t>"Art. 108-L.  ..................................................</w:t>
            </w:r>
            <w:r w:rsidR="00C842E7">
              <w:rPr>
                <w:rFonts w:ascii="Calibri" w:hAnsi="Calibri" w:cs="Calibri"/>
                <w:color w:val="000000"/>
                <w:sz w:val="22"/>
                <w:szCs w:val="22"/>
              </w:rPr>
              <w:t>.</w:t>
            </w:r>
            <w:r>
              <w:rPr>
                <w:rFonts w:ascii="Calibri" w:hAnsi="Calibri" w:cs="Calibri"/>
                <w:color w:val="000000"/>
                <w:sz w:val="22"/>
                <w:szCs w:val="22"/>
              </w:rPr>
              <w:t>.................</w:t>
            </w:r>
          </w:p>
          <w:p w14:paraId="13BC902F" w14:textId="022E47DF" w:rsidR="00BB5B7C" w:rsidRPr="00BB5B7C" w:rsidRDefault="00BB5B7C" w:rsidP="00BB5B7C">
            <w:pPr>
              <w:jc w:val="both"/>
              <w:rPr>
                <w:rFonts w:ascii="Calibri" w:hAnsi="Calibri" w:cs="Calibri"/>
                <w:color w:val="000000"/>
                <w:sz w:val="22"/>
                <w:szCs w:val="22"/>
              </w:rPr>
            </w:pPr>
            <w:r w:rsidRPr="00BB5B7C">
              <w:rPr>
                <w:rFonts w:ascii="Calibri" w:hAnsi="Calibri" w:cs="Calibri"/>
                <w:color w:val="000000"/>
                <w:sz w:val="22"/>
                <w:szCs w:val="22"/>
              </w:rPr>
              <w:t>.........................................................</w:t>
            </w:r>
            <w:r>
              <w:rPr>
                <w:rFonts w:ascii="Calibri" w:hAnsi="Calibri" w:cs="Calibri"/>
                <w:color w:val="000000"/>
                <w:sz w:val="22"/>
                <w:szCs w:val="22"/>
              </w:rPr>
              <w:t>...............................</w:t>
            </w:r>
          </w:p>
          <w:p w14:paraId="43F404A9" w14:textId="77777777" w:rsidR="00BB5B7C" w:rsidRPr="00BB5B7C" w:rsidRDefault="00BB5B7C" w:rsidP="00BB5B7C">
            <w:pPr>
              <w:jc w:val="both"/>
              <w:rPr>
                <w:rFonts w:ascii="Calibri" w:hAnsi="Calibri" w:cs="Calibri"/>
                <w:color w:val="000000"/>
                <w:sz w:val="22"/>
                <w:szCs w:val="22"/>
              </w:rPr>
            </w:pPr>
          </w:p>
          <w:p w14:paraId="036399F8" w14:textId="77777777" w:rsidR="00BB5B7C" w:rsidRPr="00BB5B7C" w:rsidRDefault="00BB5B7C" w:rsidP="00BB5B7C">
            <w:pPr>
              <w:jc w:val="both"/>
              <w:rPr>
                <w:rFonts w:ascii="Calibri" w:hAnsi="Calibri" w:cs="Calibri"/>
                <w:color w:val="000000"/>
                <w:sz w:val="22"/>
                <w:szCs w:val="22"/>
              </w:rPr>
            </w:pPr>
            <w:r w:rsidRPr="00BB5B7C">
              <w:rPr>
                <w:rFonts w:ascii="Calibri" w:hAnsi="Calibri" w:cs="Calibri"/>
                <w:color w:val="000000"/>
                <w:sz w:val="22"/>
                <w:szCs w:val="22"/>
              </w:rPr>
              <w:lastRenderedPageBreak/>
              <w:t>§ 6º As estratégias e diretrizes relativas à gestão do risco de liquidez deverão incluir, no mínimo:</w:t>
            </w:r>
          </w:p>
          <w:p w14:paraId="319FDE1B" w14:textId="77777777" w:rsidR="00BB5B7C" w:rsidRPr="00BB5B7C" w:rsidRDefault="00BB5B7C" w:rsidP="00BB5B7C">
            <w:pPr>
              <w:jc w:val="both"/>
              <w:rPr>
                <w:rFonts w:ascii="Calibri" w:hAnsi="Calibri" w:cs="Calibri"/>
                <w:color w:val="000000"/>
                <w:sz w:val="22"/>
                <w:szCs w:val="22"/>
              </w:rPr>
            </w:pPr>
          </w:p>
          <w:p w14:paraId="5D1879E3" w14:textId="77777777" w:rsidR="00BB5B7C" w:rsidRPr="00BB5B7C" w:rsidRDefault="00BB5B7C" w:rsidP="00BB5B7C">
            <w:pPr>
              <w:jc w:val="both"/>
              <w:rPr>
                <w:rFonts w:ascii="Calibri" w:hAnsi="Calibri" w:cs="Calibri"/>
                <w:color w:val="000000"/>
                <w:sz w:val="22"/>
                <w:szCs w:val="22"/>
              </w:rPr>
            </w:pPr>
            <w:r w:rsidRPr="00BB5B7C">
              <w:rPr>
                <w:rFonts w:ascii="Calibri" w:hAnsi="Calibri" w:cs="Calibri"/>
                <w:color w:val="000000"/>
                <w:sz w:val="22"/>
                <w:szCs w:val="22"/>
              </w:rPr>
              <w:t xml:space="preserve">I - </w:t>
            </w:r>
            <w:proofErr w:type="gramStart"/>
            <w:r w:rsidRPr="00BB5B7C">
              <w:rPr>
                <w:rFonts w:ascii="Calibri" w:hAnsi="Calibri" w:cs="Calibri"/>
                <w:color w:val="000000"/>
                <w:sz w:val="22"/>
                <w:szCs w:val="22"/>
              </w:rPr>
              <w:t>os</w:t>
            </w:r>
            <w:proofErr w:type="gramEnd"/>
            <w:r w:rsidRPr="00BB5B7C">
              <w:rPr>
                <w:rFonts w:ascii="Calibri" w:hAnsi="Calibri" w:cs="Calibri"/>
                <w:color w:val="000000"/>
                <w:sz w:val="22"/>
                <w:szCs w:val="22"/>
              </w:rPr>
              <w:t xml:space="preserve"> parâmetros para a avaliação de seus ativos quanto à capacidade de realização ou de geração de fluxos de caixa em montantes e prazos compatíveis com o pagamento de suas obrigações contratuais, bem como outras obrigações financeiras, em condições normais ou estressadas, considerando, no mínimo:</w:t>
            </w:r>
          </w:p>
          <w:p w14:paraId="28ED65CA" w14:textId="77777777" w:rsidR="00BB5B7C" w:rsidRPr="00BB5B7C" w:rsidRDefault="00BB5B7C" w:rsidP="00BB5B7C">
            <w:pPr>
              <w:jc w:val="both"/>
              <w:rPr>
                <w:rFonts w:ascii="Calibri" w:hAnsi="Calibri" w:cs="Calibri"/>
                <w:color w:val="000000"/>
                <w:sz w:val="22"/>
                <w:szCs w:val="22"/>
              </w:rPr>
            </w:pPr>
          </w:p>
          <w:p w14:paraId="3666B8C5" w14:textId="77777777" w:rsidR="00BB5B7C" w:rsidRPr="00BB5B7C" w:rsidRDefault="00BB5B7C" w:rsidP="00BB5B7C">
            <w:pPr>
              <w:jc w:val="both"/>
              <w:rPr>
                <w:rFonts w:ascii="Calibri" w:hAnsi="Calibri" w:cs="Calibri"/>
                <w:color w:val="000000"/>
                <w:sz w:val="22"/>
                <w:szCs w:val="22"/>
              </w:rPr>
            </w:pPr>
            <w:r w:rsidRPr="00BB5B7C">
              <w:rPr>
                <w:rFonts w:ascii="Calibri" w:hAnsi="Calibri" w:cs="Calibri"/>
                <w:color w:val="000000"/>
                <w:sz w:val="22"/>
                <w:szCs w:val="22"/>
              </w:rPr>
              <w:t>a) potenciais aumentos das solicitações de cancelamentos, resgates e portabilidades;</w:t>
            </w:r>
          </w:p>
          <w:p w14:paraId="1DCB34DC" w14:textId="77777777" w:rsidR="00BB5B7C" w:rsidRPr="00BB5B7C" w:rsidRDefault="00BB5B7C" w:rsidP="00BB5B7C">
            <w:pPr>
              <w:jc w:val="both"/>
              <w:rPr>
                <w:rFonts w:ascii="Calibri" w:hAnsi="Calibri" w:cs="Calibri"/>
                <w:color w:val="000000"/>
                <w:sz w:val="22"/>
                <w:szCs w:val="22"/>
              </w:rPr>
            </w:pPr>
          </w:p>
          <w:p w14:paraId="17B7A6DA" w14:textId="77777777" w:rsidR="00BB5B7C" w:rsidRPr="00BB5B7C" w:rsidRDefault="00BB5B7C" w:rsidP="00BB5B7C">
            <w:pPr>
              <w:jc w:val="both"/>
              <w:rPr>
                <w:rFonts w:ascii="Calibri" w:hAnsi="Calibri" w:cs="Calibri"/>
                <w:color w:val="000000"/>
                <w:sz w:val="22"/>
                <w:szCs w:val="22"/>
              </w:rPr>
            </w:pPr>
            <w:r w:rsidRPr="00BB5B7C">
              <w:rPr>
                <w:rFonts w:ascii="Calibri" w:hAnsi="Calibri" w:cs="Calibri"/>
                <w:color w:val="000000"/>
                <w:sz w:val="22"/>
                <w:szCs w:val="22"/>
              </w:rPr>
              <w:t>b) potenciais aumentos de sinistralidade, despesas administrativas e outras despesas operacionais, inclusive decorrentes de eventos catastróficos;</w:t>
            </w:r>
          </w:p>
          <w:p w14:paraId="7B88C53F" w14:textId="77777777" w:rsidR="00BB5B7C" w:rsidRPr="00BB5B7C" w:rsidRDefault="00BB5B7C" w:rsidP="00BB5B7C">
            <w:pPr>
              <w:jc w:val="both"/>
              <w:rPr>
                <w:rFonts w:ascii="Calibri" w:hAnsi="Calibri" w:cs="Calibri"/>
                <w:color w:val="000000"/>
                <w:sz w:val="22"/>
                <w:szCs w:val="22"/>
              </w:rPr>
            </w:pPr>
          </w:p>
          <w:p w14:paraId="4903E9BD" w14:textId="77777777" w:rsidR="00BB5B7C" w:rsidRPr="00BB5B7C" w:rsidRDefault="00BB5B7C" w:rsidP="00BB5B7C">
            <w:pPr>
              <w:jc w:val="both"/>
              <w:rPr>
                <w:rFonts w:ascii="Calibri" w:hAnsi="Calibri" w:cs="Calibri"/>
                <w:color w:val="000000"/>
                <w:sz w:val="22"/>
                <w:szCs w:val="22"/>
              </w:rPr>
            </w:pPr>
            <w:r w:rsidRPr="00BB5B7C">
              <w:rPr>
                <w:rFonts w:ascii="Calibri" w:hAnsi="Calibri" w:cs="Calibri"/>
                <w:color w:val="000000"/>
                <w:sz w:val="22"/>
                <w:szCs w:val="22"/>
              </w:rPr>
              <w:t>c) oscilações nos fluxos de caixa de ativos e passivos decorrentes de flutuações do mercado financeiro;</w:t>
            </w:r>
          </w:p>
          <w:p w14:paraId="362AC836" w14:textId="77777777" w:rsidR="00BB5B7C" w:rsidRPr="00BB5B7C" w:rsidRDefault="00BB5B7C" w:rsidP="00BB5B7C">
            <w:pPr>
              <w:jc w:val="both"/>
              <w:rPr>
                <w:rFonts w:ascii="Calibri" w:hAnsi="Calibri" w:cs="Calibri"/>
                <w:color w:val="000000"/>
                <w:sz w:val="22"/>
                <w:szCs w:val="22"/>
              </w:rPr>
            </w:pPr>
          </w:p>
          <w:p w14:paraId="224F7D36" w14:textId="77777777" w:rsidR="00BB5B7C" w:rsidRPr="00BB5B7C" w:rsidRDefault="00BB5B7C" w:rsidP="00BB5B7C">
            <w:pPr>
              <w:jc w:val="both"/>
              <w:rPr>
                <w:rFonts w:ascii="Calibri" w:hAnsi="Calibri" w:cs="Calibri"/>
                <w:color w:val="000000"/>
                <w:sz w:val="22"/>
                <w:szCs w:val="22"/>
              </w:rPr>
            </w:pPr>
            <w:r w:rsidRPr="00BB5B7C">
              <w:rPr>
                <w:rFonts w:ascii="Calibri" w:hAnsi="Calibri" w:cs="Calibri"/>
                <w:color w:val="000000"/>
                <w:sz w:val="22"/>
                <w:szCs w:val="22"/>
              </w:rPr>
              <w:t>d) necessidade de depósitos de margem e outras garantias decorrentes de operações com derivativos; e</w:t>
            </w:r>
          </w:p>
          <w:p w14:paraId="5E833FEE" w14:textId="77777777" w:rsidR="00BB5B7C" w:rsidRPr="00BB5B7C" w:rsidRDefault="00BB5B7C" w:rsidP="00BB5B7C">
            <w:pPr>
              <w:jc w:val="both"/>
              <w:rPr>
                <w:rFonts w:ascii="Calibri" w:hAnsi="Calibri" w:cs="Calibri"/>
                <w:color w:val="000000"/>
                <w:sz w:val="22"/>
                <w:szCs w:val="22"/>
              </w:rPr>
            </w:pPr>
          </w:p>
          <w:p w14:paraId="6C3879F4" w14:textId="77777777" w:rsidR="00BB5B7C" w:rsidRPr="00BB5B7C" w:rsidRDefault="00BB5B7C" w:rsidP="00BB5B7C">
            <w:pPr>
              <w:jc w:val="both"/>
              <w:rPr>
                <w:rFonts w:ascii="Calibri" w:hAnsi="Calibri" w:cs="Calibri"/>
                <w:color w:val="000000"/>
                <w:sz w:val="22"/>
                <w:szCs w:val="22"/>
              </w:rPr>
            </w:pPr>
            <w:r w:rsidRPr="00BB5B7C">
              <w:rPr>
                <w:rFonts w:ascii="Calibri" w:hAnsi="Calibri" w:cs="Calibri"/>
                <w:color w:val="000000"/>
                <w:sz w:val="22"/>
                <w:szCs w:val="22"/>
              </w:rPr>
              <w:t>e) necessidade de observância dos requisitos regulatórios em vigor.</w:t>
            </w:r>
          </w:p>
          <w:p w14:paraId="4DAB8671" w14:textId="77777777" w:rsidR="00BB5B7C" w:rsidRPr="00BB5B7C" w:rsidRDefault="00BB5B7C" w:rsidP="00BB5B7C">
            <w:pPr>
              <w:jc w:val="both"/>
              <w:rPr>
                <w:rFonts w:ascii="Calibri" w:hAnsi="Calibri" w:cs="Calibri"/>
                <w:color w:val="000000"/>
                <w:sz w:val="22"/>
                <w:szCs w:val="22"/>
              </w:rPr>
            </w:pPr>
          </w:p>
          <w:p w14:paraId="3C4DF3E1" w14:textId="77777777" w:rsidR="007943DC" w:rsidRDefault="00BB5B7C" w:rsidP="00BB5B7C">
            <w:pPr>
              <w:jc w:val="both"/>
              <w:rPr>
                <w:rFonts w:ascii="Calibri" w:hAnsi="Calibri" w:cs="Calibri"/>
                <w:color w:val="000000"/>
                <w:sz w:val="22"/>
                <w:szCs w:val="22"/>
              </w:rPr>
            </w:pPr>
            <w:r w:rsidRPr="00BB5B7C">
              <w:rPr>
                <w:rFonts w:ascii="Calibri" w:hAnsi="Calibri" w:cs="Calibri"/>
                <w:color w:val="000000"/>
                <w:sz w:val="22"/>
                <w:szCs w:val="22"/>
              </w:rPr>
              <w:t xml:space="preserve"> II - </w:t>
            </w:r>
            <w:proofErr w:type="gramStart"/>
            <w:r w:rsidRPr="00BB5B7C">
              <w:rPr>
                <w:rFonts w:ascii="Calibri" w:hAnsi="Calibri" w:cs="Calibri"/>
                <w:color w:val="000000"/>
                <w:sz w:val="22"/>
                <w:szCs w:val="22"/>
              </w:rPr>
              <w:t>as</w:t>
            </w:r>
            <w:proofErr w:type="gramEnd"/>
            <w:r w:rsidRPr="00BB5B7C">
              <w:rPr>
                <w:rFonts w:ascii="Calibri" w:hAnsi="Calibri" w:cs="Calibri"/>
                <w:color w:val="000000"/>
                <w:sz w:val="22"/>
                <w:szCs w:val="22"/>
              </w:rPr>
              <w:t xml:space="preserve"> estratégias para contornar as situações elencadas no inciso I, que poderão incluir manutenção de estoque adequado de ativos de elevada liquidez e/ou eventuais fontes de financiamento capazes de suprir, mesmo em condições de estresse, as necessidades de liquidez da supervisionada.” (NR)</w:t>
            </w:r>
          </w:p>
          <w:p w14:paraId="678584D6" w14:textId="38A8BC56" w:rsidR="00BB5B7C" w:rsidRDefault="00BB5B7C" w:rsidP="00BB5B7C">
            <w:pPr>
              <w:jc w:val="both"/>
              <w:rPr>
                <w:rFonts w:ascii="Calibri" w:hAnsi="Calibri" w:cs="Calibri"/>
                <w:color w:val="000000"/>
                <w:sz w:val="22"/>
                <w:szCs w:val="22"/>
              </w:rPr>
            </w:pPr>
          </w:p>
        </w:tc>
        <w:tc>
          <w:tcPr>
            <w:tcW w:w="5245" w:type="dxa"/>
          </w:tcPr>
          <w:p w14:paraId="0845E9B3" w14:textId="77777777" w:rsidR="007943DC" w:rsidRPr="0056460E" w:rsidRDefault="007943DC" w:rsidP="007632B3">
            <w:pPr>
              <w:jc w:val="center"/>
              <w:rPr>
                <w:rFonts w:asciiTheme="minorHAnsi" w:hAnsiTheme="minorHAnsi"/>
                <w:b/>
                <w:bCs/>
                <w:sz w:val="22"/>
                <w:szCs w:val="22"/>
              </w:rPr>
            </w:pPr>
          </w:p>
        </w:tc>
        <w:tc>
          <w:tcPr>
            <w:tcW w:w="5532" w:type="dxa"/>
          </w:tcPr>
          <w:p w14:paraId="7D233757" w14:textId="77777777" w:rsidR="007943DC" w:rsidRPr="0056460E" w:rsidRDefault="007943DC" w:rsidP="007632B3">
            <w:pPr>
              <w:jc w:val="center"/>
              <w:rPr>
                <w:rFonts w:asciiTheme="minorHAnsi" w:hAnsiTheme="minorHAnsi"/>
                <w:b/>
                <w:bCs/>
                <w:sz w:val="22"/>
                <w:szCs w:val="22"/>
              </w:rPr>
            </w:pPr>
          </w:p>
        </w:tc>
      </w:tr>
      <w:tr w:rsidR="007943DC" w:rsidRPr="0056460E" w14:paraId="1511B7D1" w14:textId="77777777" w:rsidTr="007632B3">
        <w:trPr>
          <w:trHeight w:val="862"/>
        </w:trPr>
        <w:tc>
          <w:tcPr>
            <w:tcW w:w="5104" w:type="dxa"/>
          </w:tcPr>
          <w:p w14:paraId="4D1059F6" w14:textId="4FB2AAD6" w:rsidR="00BB5B7C" w:rsidRPr="00BB5B7C" w:rsidRDefault="00BB5B7C" w:rsidP="00BB5B7C">
            <w:pPr>
              <w:jc w:val="both"/>
              <w:rPr>
                <w:rFonts w:ascii="Calibri" w:hAnsi="Calibri" w:cs="Calibri"/>
                <w:color w:val="000000"/>
                <w:sz w:val="22"/>
                <w:szCs w:val="22"/>
              </w:rPr>
            </w:pPr>
            <w:r w:rsidRPr="00BB5B7C">
              <w:rPr>
                <w:rFonts w:ascii="Calibri" w:hAnsi="Calibri" w:cs="Calibri"/>
                <w:color w:val="000000"/>
                <w:sz w:val="22"/>
                <w:szCs w:val="22"/>
              </w:rPr>
              <w:t>"Art. 168. .........................................................</w:t>
            </w:r>
            <w:r>
              <w:rPr>
                <w:rFonts w:ascii="Calibri" w:hAnsi="Calibri" w:cs="Calibri"/>
                <w:color w:val="000000"/>
                <w:sz w:val="22"/>
                <w:szCs w:val="22"/>
              </w:rPr>
              <w:t>...............</w:t>
            </w:r>
            <w:r w:rsidRPr="00BB5B7C">
              <w:rPr>
                <w:rFonts w:ascii="Calibri" w:hAnsi="Calibri" w:cs="Calibri"/>
                <w:color w:val="000000"/>
                <w:sz w:val="22"/>
                <w:szCs w:val="22"/>
              </w:rPr>
              <w:t xml:space="preserve"> </w:t>
            </w:r>
          </w:p>
          <w:p w14:paraId="07580CF6" w14:textId="771173EF" w:rsidR="00BB5B7C" w:rsidRPr="00BB5B7C" w:rsidRDefault="00BB5B7C" w:rsidP="00BB5B7C">
            <w:pPr>
              <w:jc w:val="both"/>
              <w:rPr>
                <w:rFonts w:ascii="Calibri" w:hAnsi="Calibri" w:cs="Calibri"/>
                <w:color w:val="000000"/>
                <w:sz w:val="22"/>
                <w:szCs w:val="22"/>
              </w:rPr>
            </w:pPr>
            <w:r w:rsidRPr="00BB5B7C">
              <w:rPr>
                <w:rFonts w:ascii="Calibri" w:hAnsi="Calibri" w:cs="Calibri"/>
                <w:color w:val="000000"/>
                <w:sz w:val="22"/>
                <w:szCs w:val="22"/>
              </w:rPr>
              <w:t>.......................................................................................</w:t>
            </w:r>
            <w:r>
              <w:rPr>
                <w:rFonts w:ascii="Calibri" w:hAnsi="Calibri" w:cs="Calibri"/>
                <w:color w:val="000000"/>
                <w:sz w:val="22"/>
                <w:szCs w:val="22"/>
              </w:rPr>
              <w:t>.</w:t>
            </w:r>
          </w:p>
          <w:p w14:paraId="57F5DDA2" w14:textId="77777777" w:rsidR="00BB5B7C" w:rsidRPr="00BB5B7C" w:rsidRDefault="00BB5B7C" w:rsidP="00BB5B7C">
            <w:pPr>
              <w:jc w:val="both"/>
              <w:rPr>
                <w:rFonts w:ascii="Calibri" w:hAnsi="Calibri" w:cs="Calibri"/>
                <w:color w:val="000000"/>
                <w:sz w:val="22"/>
                <w:szCs w:val="22"/>
              </w:rPr>
            </w:pPr>
          </w:p>
          <w:p w14:paraId="739996AD" w14:textId="77777777" w:rsidR="007943DC" w:rsidRDefault="00BB5B7C" w:rsidP="00BB5B7C">
            <w:pPr>
              <w:jc w:val="both"/>
              <w:rPr>
                <w:rFonts w:ascii="Calibri" w:hAnsi="Calibri" w:cs="Calibri"/>
                <w:color w:val="000000"/>
                <w:sz w:val="22"/>
                <w:szCs w:val="22"/>
              </w:rPr>
            </w:pPr>
            <w:r w:rsidRPr="00BB5B7C">
              <w:rPr>
                <w:rFonts w:ascii="Calibri" w:hAnsi="Calibri" w:cs="Calibri"/>
                <w:color w:val="000000"/>
                <w:sz w:val="22"/>
                <w:szCs w:val="22"/>
              </w:rPr>
              <w:t xml:space="preserve">§ 9º Para os ativos de resseguro e de retrocessão, a atualização do estudo sobre a redução ao valor recuperável de que trata o </w:t>
            </w:r>
            <w:r w:rsidRPr="0035706D">
              <w:rPr>
                <w:rFonts w:ascii="Calibri" w:hAnsi="Calibri" w:cs="Calibri"/>
                <w:b/>
                <w:color w:val="000000"/>
                <w:sz w:val="22"/>
                <w:szCs w:val="22"/>
              </w:rPr>
              <w:t>caput</w:t>
            </w:r>
            <w:r w:rsidRPr="00BB5B7C">
              <w:rPr>
                <w:rFonts w:ascii="Calibri" w:hAnsi="Calibri" w:cs="Calibri"/>
                <w:color w:val="000000"/>
                <w:sz w:val="22"/>
                <w:szCs w:val="22"/>
              </w:rPr>
              <w:t xml:space="preserve">, referente a data-base de 31 de dezembro, deverá ser encaminhada à Susep em conjunto com os documentos da auditoria atuarial </w:t>
            </w:r>
            <w:r w:rsidRPr="00BB5B7C">
              <w:rPr>
                <w:rFonts w:ascii="Calibri" w:hAnsi="Calibri" w:cs="Calibri"/>
                <w:color w:val="000000"/>
                <w:sz w:val="22"/>
                <w:szCs w:val="22"/>
              </w:rPr>
              <w:lastRenderedPageBreak/>
              <w:t>independente, conforme estabelecido em regulação específica."(NR)</w:t>
            </w:r>
          </w:p>
          <w:p w14:paraId="3B7A8F10" w14:textId="0E446666" w:rsidR="00BB5B7C" w:rsidRDefault="00BB5B7C" w:rsidP="00BB5B7C">
            <w:pPr>
              <w:jc w:val="both"/>
              <w:rPr>
                <w:rFonts w:ascii="Calibri" w:hAnsi="Calibri" w:cs="Calibri"/>
                <w:color w:val="000000"/>
                <w:sz w:val="22"/>
                <w:szCs w:val="22"/>
              </w:rPr>
            </w:pPr>
          </w:p>
        </w:tc>
        <w:tc>
          <w:tcPr>
            <w:tcW w:w="5245" w:type="dxa"/>
          </w:tcPr>
          <w:p w14:paraId="67CF21A4" w14:textId="77777777" w:rsidR="007943DC" w:rsidRPr="0056460E" w:rsidRDefault="007943DC" w:rsidP="007632B3">
            <w:pPr>
              <w:jc w:val="center"/>
              <w:rPr>
                <w:rFonts w:asciiTheme="minorHAnsi" w:hAnsiTheme="minorHAnsi"/>
                <w:b/>
                <w:bCs/>
                <w:sz w:val="22"/>
                <w:szCs w:val="22"/>
              </w:rPr>
            </w:pPr>
          </w:p>
        </w:tc>
        <w:tc>
          <w:tcPr>
            <w:tcW w:w="5532" w:type="dxa"/>
          </w:tcPr>
          <w:p w14:paraId="104A7FB3" w14:textId="77777777" w:rsidR="007943DC" w:rsidRPr="0056460E" w:rsidRDefault="007943DC" w:rsidP="007632B3">
            <w:pPr>
              <w:jc w:val="center"/>
              <w:rPr>
                <w:rFonts w:asciiTheme="minorHAnsi" w:hAnsiTheme="minorHAnsi"/>
                <w:b/>
                <w:bCs/>
                <w:sz w:val="22"/>
                <w:szCs w:val="22"/>
              </w:rPr>
            </w:pPr>
          </w:p>
        </w:tc>
      </w:tr>
      <w:tr w:rsidR="007943DC" w:rsidRPr="0056460E" w14:paraId="71E3E84C" w14:textId="77777777" w:rsidTr="007632B3">
        <w:trPr>
          <w:trHeight w:val="862"/>
        </w:trPr>
        <w:tc>
          <w:tcPr>
            <w:tcW w:w="5104" w:type="dxa"/>
          </w:tcPr>
          <w:p w14:paraId="7739C350" w14:textId="77777777" w:rsidR="007943DC" w:rsidRDefault="00B0788F" w:rsidP="00005C6E">
            <w:pPr>
              <w:jc w:val="both"/>
              <w:rPr>
                <w:rFonts w:ascii="Calibri" w:hAnsi="Calibri" w:cs="Calibri"/>
                <w:color w:val="000000"/>
                <w:sz w:val="22"/>
                <w:szCs w:val="22"/>
              </w:rPr>
            </w:pPr>
            <w:r>
              <w:rPr>
                <w:rFonts w:ascii="Calibri" w:hAnsi="Calibri" w:cs="Calibri"/>
                <w:color w:val="000000"/>
                <w:sz w:val="22"/>
                <w:szCs w:val="22"/>
              </w:rPr>
              <w:t>Art. 2º Anexo VIII da Circular Susep nº 517, de 30 de julho de 2015, passa a vigorar com as seguintes alterações:</w:t>
            </w:r>
          </w:p>
          <w:p w14:paraId="6993477D" w14:textId="02E0CE4D" w:rsidR="00B0788F" w:rsidRDefault="00B0788F" w:rsidP="00005C6E">
            <w:pPr>
              <w:jc w:val="both"/>
              <w:rPr>
                <w:rFonts w:ascii="Calibri" w:hAnsi="Calibri" w:cs="Calibri"/>
                <w:color w:val="000000"/>
                <w:sz w:val="22"/>
                <w:szCs w:val="22"/>
              </w:rPr>
            </w:pPr>
          </w:p>
        </w:tc>
        <w:tc>
          <w:tcPr>
            <w:tcW w:w="5245" w:type="dxa"/>
          </w:tcPr>
          <w:p w14:paraId="522A888F" w14:textId="77777777" w:rsidR="007943DC" w:rsidRPr="0056460E" w:rsidRDefault="007943DC" w:rsidP="007632B3">
            <w:pPr>
              <w:jc w:val="center"/>
              <w:rPr>
                <w:rFonts w:asciiTheme="minorHAnsi" w:hAnsiTheme="minorHAnsi"/>
                <w:b/>
                <w:bCs/>
                <w:sz w:val="22"/>
                <w:szCs w:val="22"/>
              </w:rPr>
            </w:pPr>
          </w:p>
        </w:tc>
        <w:tc>
          <w:tcPr>
            <w:tcW w:w="5532" w:type="dxa"/>
          </w:tcPr>
          <w:p w14:paraId="44C5C358" w14:textId="77777777" w:rsidR="007943DC" w:rsidRPr="0056460E" w:rsidRDefault="007943DC" w:rsidP="007632B3">
            <w:pPr>
              <w:jc w:val="center"/>
              <w:rPr>
                <w:rFonts w:asciiTheme="minorHAnsi" w:hAnsiTheme="minorHAnsi"/>
                <w:b/>
                <w:bCs/>
                <w:sz w:val="22"/>
                <w:szCs w:val="22"/>
              </w:rPr>
            </w:pPr>
          </w:p>
        </w:tc>
      </w:tr>
      <w:tr w:rsidR="007943DC" w:rsidRPr="0056460E" w14:paraId="1DB17924" w14:textId="77777777" w:rsidTr="007632B3">
        <w:trPr>
          <w:trHeight w:val="862"/>
        </w:trPr>
        <w:tc>
          <w:tcPr>
            <w:tcW w:w="5104" w:type="dxa"/>
          </w:tcPr>
          <w:p w14:paraId="04A7882E" w14:textId="1165E3E3" w:rsidR="00B0788F" w:rsidRPr="00B0788F" w:rsidRDefault="00B0788F" w:rsidP="00B0788F">
            <w:pPr>
              <w:jc w:val="both"/>
              <w:rPr>
                <w:rFonts w:ascii="Calibri" w:hAnsi="Calibri" w:cs="Calibri"/>
                <w:color w:val="000000"/>
                <w:sz w:val="22"/>
                <w:szCs w:val="22"/>
              </w:rPr>
            </w:pPr>
            <w:r w:rsidRPr="00B0788F">
              <w:rPr>
                <w:rFonts w:ascii="Calibri" w:hAnsi="Calibri" w:cs="Calibri"/>
                <w:color w:val="000000"/>
                <w:sz w:val="22"/>
                <w:szCs w:val="22"/>
              </w:rPr>
              <w:t>“Art. 2</w:t>
            </w:r>
            <w:proofErr w:type="gramStart"/>
            <w:r w:rsidRPr="00B0788F">
              <w:rPr>
                <w:rFonts w:ascii="Calibri" w:hAnsi="Calibri" w:cs="Calibri"/>
                <w:color w:val="000000"/>
                <w:sz w:val="22"/>
                <w:szCs w:val="22"/>
              </w:rPr>
              <w:t>º  ...................................................................</w:t>
            </w:r>
            <w:r>
              <w:rPr>
                <w:rFonts w:ascii="Calibri" w:hAnsi="Calibri" w:cs="Calibri"/>
                <w:color w:val="000000"/>
                <w:sz w:val="22"/>
                <w:szCs w:val="22"/>
              </w:rPr>
              <w:t>......</w:t>
            </w:r>
            <w:proofErr w:type="gramEnd"/>
          </w:p>
          <w:p w14:paraId="2A200D60" w14:textId="740D60F9" w:rsidR="00B0788F" w:rsidRPr="00B0788F" w:rsidRDefault="00B0788F" w:rsidP="00B0788F">
            <w:pPr>
              <w:jc w:val="both"/>
              <w:rPr>
                <w:rFonts w:ascii="Calibri" w:hAnsi="Calibri" w:cs="Calibri"/>
                <w:color w:val="000000"/>
                <w:sz w:val="22"/>
                <w:szCs w:val="22"/>
              </w:rPr>
            </w:pPr>
            <w:r w:rsidRPr="00B0788F">
              <w:rPr>
                <w:rFonts w:ascii="Calibri" w:hAnsi="Calibri" w:cs="Calibri"/>
                <w:color w:val="000000"/>
                <w:sz w:val="22"/>
                <w:szCs w:val="22"/>
              </w:rPr>
              <w:t>........................................................................................</w:t>
            </w:r>
          </w:p>
          <w:p w14:paraId="2AADEC5A" w14:textId="77777777" w:rsidR="00B0788F" w:rsidRPr="00B0788F" w:rsidRDefault="00B0788F" w:rsidP="00B0788F">
            <w:pPr>
              <w:jc w:val="both"/>
              <w:rPr>
                <w:rFonts w:ascii="Calibri" w:hAnsi="Calibri" w:cs="Calibri"/>
                <w:color w:val="000000"/>
                <w:sz w:val="22"/>
                <w:szCs w:val="22"/>
              </w:rPr>
            </w:pPr>
            <w:r w:rsidRPr="00B0788F">
              <w:rPr>
                <w:rFonts w:ascii="Calibri" w:hAnsi="Calibri" w:cs="Calibri"/>
                <w:color w:val="000000"/>
                <w:sz w:val="22"/>
                <w:szCs w:val="22"/>
              </w:rPr>
              <w:t>XIII - política de gerenciamento do risco de liquidez; e</w:t>
            </w:r>
          </w:p>
          <w:p w14:paraId="6D50EF51" w14:textId="77777777" w:rsidR="00B0788F" w:rsidRPr="00B0788F" w:rsidRDefault="00B0788F" w:rsidP="00B0788F">
            <w:pPr>
              <w:jc w:val="both"/>
              <w:rPr>
                <w:rFonts w:ascii="Calibri" w:hAnsi="Calibri" w:cs="Calibri"/>
                <w:color w:val="000000"/>
                <w:sz w:val="22"/>
                <w:szCs w:val="22"/>
              </w:rPr>
            </w:pPr>
            <w:r w:rsidRPr="00B0788F">
              <w:rPr>
                <w:rFonts w:ascii="Calibri" w:hAnsi="Calibri" w:cs="Calibri"/>
                <w:color w:val="000000"/>
                <w:sz w:val="22"/>
                <w:szCs w:val="22"/>
              </w:rPr>
              <w:t>XIV - outras informações relevantes.</w:t>
            </w:r>
          </w:p>
          <w:p w14:paraId="30A9A55E" w14:textId="77777777" w:rsidR="007943DC" w:rsidRDefault="00B0788F" w:rsidP="00B0788F">
            <w:pPr>
              <w:jc w:val="both"/>
              <w:rPr>
                <w:rFonts w:ascii="Calibri" w:hAnsi="Calibri" w:cs="Calibri"/>
                <w:color w:val="000000"/>
                <w:sz w:val="22"/>
                <w:szCs w:val="22"/>
              </w:rPr>
            </w:pPr>
            <w:r w:rsidRPr="00B0788F">
              <w:rPr>
                <w:rFonts w:ascii="Calibri" w:hAnsi="Calibri" w:cs="Calibri"/>
                <w:color w:val="000000"/>
                <w:sz w:val="22"/>
                <w:szCs w:val="22"/>
              </w:rPr>
              <w:t>.............................................................................“ (NR)</w:t>
            </w:r>
          </w:p>
          <w:p w14:paraId="2D3BCC88" w14:textId="76EE57C2" w:rsidR="00B0788F" w:rsidRDefault="00B0788F" w:rsidP="00B0788F">
            <w:pPr>
              <w:jc w:val="both"/>
              <w:rPr>
                <w:rFonts w:ascii="Calibri" w:hAnsi="Calibri" w:cs="Calibri"/>
                <w:color w:val="000000"/>
                <w:sz w:val="22"/>
                <w:szCs w:val="22"/>
              </w:rPr>
            </w:pPr>
          </w:p>
        </w:tc>
        <w:tc>
          <w:tcPr>
            <w:tcW w:w="5245" w:type="dxa"/>
          </w:tcPr>
          <w:p w14:paraId="6A2240C4" w14:textId="77777777" w:rsidR="007943DC" w:rsidRPr="0056460E" w:rsidRDefault="007943DC" w:rsidP="007632B3">
            <w:pPr>
              <w:jc w:val="center"/>
              <w:rPr>
                <w:rFonts w:asciiTheme="minorHAnsi" w:hAnsiTheme="minorHAnsi"/>
                <w:b/>
                <w:bCs/>
                <w:sz w:val="22"/>
                <w:szCs w:val="22"/>
              </w:rPr>
            </w:pPr>
          </w:p>
        </w:tc>
        <w:tc>
          <w:tcPr>
            <w:tcW w:w="5532" w:type="dxa"/>
          </w:tcPr>
          <w:p w14:paraId="3F1B845B" w14:textId="77777777" w:rsidR="007943DC" w:rsidRPr="0056460E" w:rsidRDefault="007943DC" w:rsidP="007632B3">
            <w:pPr>
              <w:jc w:val="center"/>
              <w:rPr>
                <w:rFonts w:asciiTheme="minorHAnsi" w:hAnsiTheme="minorHAnsi"/>
                <w:b/>
                <w:bCs/>
                <w:sz w:val="22"/>
                <w:szCs w:val="22"/>
              </w:rPr>
            </w:pPr>
          </w:p>
        </w:tc>
      </w:tr>
      <w:tr w:rsidR="007943DC" w:rsidRPr="0056460E" w14:paraId="47E43C08" w14:textId="77777777" w:rsidTr="007632B3">
        <w:trPr>
          <w:trHeight w:val="862"/>
        </w:trPr>
        <w:tc>
          <w:tcPr>
            <w:tcW w:w="5104" w:type="dxa"/>
          </w:tcPr>
          <w:p w14:paraId="291806D1" w14:textId="77777777" w:rsidR="007943DC" w:rsidRDefault="00B0788F" w:rsidP="00005C6E">
            <w:pPr>
              <w:jc w:val="both"/>
              <w:rPr>
                <w:rFonts w:ascii="Calibri" w:hAnsi="Calibri" w:cs="Calibri"/>
                <w:color w:val="000000"/>
                <w:sz w:val="22"/>
                <w:szCs w:val="22"/>
              </w:rPr>
            </w:pPr>
            <w:r>
              <w:rPr>
                <w:rFonts w:ascii="Calibri" w:hAnsi="Calibri" w:cs="Calibri"/>
                <w:color w:val="000000"/>
                <w:sz w:val="22"/>
                <w:szCs w:val="22"/>
              </w:rPr>
              <w:t>"Art. 3</w:t>
            </w:r>
            <w:proofErr w:type="gramStart"/>
            <w:r>
              <w:rPr>
                <w:rFonts w:ascii="Calibri" w:hAnsi="Calibri" w:cs="Calibri"/>
                <w:color w:val="000000"/>
                <w:sz w:val="22"/>
                <w:szCs w:val="22"/>
              </w:rPr>
              <w:t>º  A</w:t>
            </w:r>
            <w:proofErr w:type="gramEnd"/>
            <w:r>
              <w:rPr>
                <w:rFonts w:ascii="Calibri" w:hAnsi="Calibri" w:cs="Calibri"/>
                <w:color w:val="000000"/>
                <w:sz w:val="22"/>
                <w:szCs w:val="22"/>
              </w:rPr>
              <w:t xml:space="preserve"> supervisionada deverá identificar no PRS, precisa e detalhadamente, os fatores que contribuíram para a insuficiência do PLA em relação ao CMR ou para o não cumprimento do requisito de qualidade de cobertura do CMR, conforme o caso.” (NR)</w:t>
            </w:r>
          </w:p>
          <w:p w14:paraId="7D7644C3" w14:textId="7CCB94CA" w:rsidR="00B0788F" w:rsidRDefault="00B0788F" w:rsidP="00005C6E">
            <w:pPr>
              <w:jc w:val="both"/>
              <w:rPr>
                <w:rFonts w:ascii="Calibri" w:hAnsi="Calibri" w:cs="Calibri"/>
                <w:color w:val="000000"/>
                <w:sz w:val="22"/>
                <w:szCs w:val="22"/>
              </w:rPr>
            </w:pPr>
          </w:p>
        </w:tc>
        <w:tc>
          <w:tcPr>
            <w:tcW w:w="5245" w:type="dxa"/>
          </w:tcPr>
          <w:p w14:paraId="3D38E301" w14:textId="77777777" w:rsidR="007943DC" w:rsidRPr="0056460E" w:rsidRDefault="007943DC" w:rsidP="007632B3">
            <w:pPr>
              <w:jc w:val="center"/>
              <w:rPr>
                <w:rFonts w:asciiTheme="minorHAnsi" w:hAnsiTheme="minorHAnsi"/>
                <w:b/>
                <w:bCs/>
                <w:sz w:val="22"/>
                <w:szCs w:val="22"/>
              </w:rPr>
            </w:pPr>
          </w:p>
        </w:tc>
        <w:tc>
          <w:tcPr>
            <w:tcW w:w="5532" w:type="dxa"/>
          </w:tcPr>
          <w:p w14:paraId="4A696212" w14:textId="77777777" w:rsidR="007943DC" w:rsidRPr="0056460E" w:rsidRDefault="007943DC" w:rsidP="007632B3">
            <w:pPr>
              <w:jc w:val="center"/>
              <w:rPr>
                <w:rFonts w:asciiTheme="minorHAnsi" w:hAnsiTheme="minorHAnsi"/>
                <w:b/>
                <w:bCs/>
                <w:sz w:val="22"/>
                <w:szCs w:val="22"/>
              </w:rPr>
            </w:pPr>
          </w:p>
        </w:tc>
      </w:tr>
      <w:tr w:rsidR="00B0788F" w:rsidRPr="0056460E" w14:paraId="4FCB6048" w14:textId="77777777" w:rsidTr="007632B3">
        <w:trPr>
          <w:trHeight w:val="862"/>
        </w:trPr>
        <w:tc>
          <w:tcPr>
            <w:tcW w:w="5104" w:type="dxa"/>
          </w:tcPr>
          <w:p w14:paraId="4CB93648" w14:textId="6AC82AA7" w:rsidR="00B0788F" w:rsidRPr="00B0788F" w:rsidRDefault="00B0788F" w:rsidP="00B0788F">
            <w:pPr>
              <w:jc w:val="both"/>
              <w:rPr>
                <w:rFonts w:ascii="Calibri" w:hAnsi="Calibri" w:cs="Calibri"/>
                <w:color w:val="000000"/>
                <w:sz w:val="22"/>
                <w:szCs w:val="22"/>
              </w:rPr>
            </w:pPr>
            <w:r>
              <w:rPr>
                <w:rFonts w:ascii="Calibri" w:hAnsi="Calibri" w:cs="Calibri"/>
                <w:color w:val="000000"/>
                <w:sz w:val="22"/>
                <w:szCs w:val="22"/>
              </w:rPr>
              <w:t xml:space="preserve">"Art. 4º </w:t>
            </w:r>
            <w:r w:rsidRPr="00B0788F">
              <w:rPr>
                <w:rFonts w:ascii="Calibri" w:hAnsi="Calibri" w:cs="Calibri"/>
                <w:color w:val="000000"/>
                <w:sz w:val="22"/>
                <w:szCs w:val="22"/>
              </w:rPr>
              <w:t>A supervisionada deverá indicar no PRS, precisa e detalhadamente, os procedimentos e as ações corretivas a serem adotadas para a solução da insuficiência do PLA em relação ao CMR ou para o cumprimento do requisito de qualidade de cobertura do CMR, conforme o caso.</w:t>
            </w:r>
          </w:p>
          <w:p w14:paraId="78645732" w14:textId="77777777" w:rsidR="00B0788F" w:rsidRPr="00B0788F" w:rsidRDefault="00B0788F" w:rsidP="00B0788F">
            <w:pPr>
              <w:jc w:val="both"/>
              <w:rPr>
                <w:rFonts w:ascii="Calibri" w:hAnsi="Calibri" w:cs="Calibri"/>
                <w:color w:val="000000"/>
                <w:sz w:val="22"/>
                <w:szCs w:val="22"/>
              </w:rPr>
            </w:pPr>
          </w:p>
          <w:p w14:paraId="3C7220B6" w14:textId="77777777" w:rsidR="00B0788F" w:rsidRPr="00B0788F" w:rsidRDefault="00B0788F" w:rsidP="00B0788F">
            <w:pPr>
              <w:jc w:val="both"/>
              <w:rPr>
                <w:rFonts w:ascii="Calibri" w:hAnsi="Calibri" w:cs="Calibri"/>
                <w:color w:val="000000"/>
                <w:sz w:val="22"/>
                <w:szCs w:val="22"/>
              </w:rPr>
            </w:pPr>
            <w:r w:rsidRPr="00B0788F">
              <w:rPr>
                <w:rFonts w:ascii="Calibri" w:hAnsi="Calibri" w:cs="Calibri"/>
                <w:color w:val="000000"/>
                <w:sz w:val="22"/>
                <w:szCs w:val="22"/>
              </w:rPr>
              <w:t>§ 1º Caso a proposta para solucionar a insuficiência do PLA em relação ao CMR ou para o cumprimento do requisito de qualidade de cobertura do CMR dependa de aportes de recursos ou emissão de dívidas subordinadas, que serão usados na compra de ativos, a supervisionada deverá indicar o prazo e a forma de realização destes aportes ou emissões, identificando as fontes de recursos.</w:t>
            </w:r>
          </w:p>
          <w:p w14:paraId="015DB03A" w14:textId="77777777" w:rsidR="00B0788F" w:rsidRPr="00B0788F" w:rsidRDefault="00B0788F" w:rsidP="00B0788F">
            <w:pPr>
              <w:jc w:val="both"/>
              <w:rPr>
                <w:rFonts w:ascii="Calibri" w:hAnsi="Calibri" w:cs="Calibri"/>
                <w:color w:val="000000"/>
                <w:sz w:val="22"/>
                <w:szCs w:val="22"/>
              </w:rPr>
            </w:pPr>
          </w:p>
          <w:p w14:paraId="023E46D7" w14:textId="77777777" w:rsidR="00B0788F" w:rsidRPr="00B0788F" w:rsidRDefault="00B0788F" w:rsidP="00B0788F">
            <w:pPr>
              <w:jc w:val="both"/>
              <w:rPr>
                <w:rFonts w:ascii="Calibri" w:hAnsi="Calibri" w:cs="Calibri"/>
                <w:color w:val="000000"/>
                <w:sz w:val="22"/>
                <w:szCs w:val="22"/>
              </w:rPr>
            </w:pPr>
            <w:r w:rsidRPr="00B0788F">
              <w:rPr>
                <w:rFonts w:ascii="Calibri" w:hAnsi="Calibri" w:cs="Calibri"/>
                <w:color w:val="000000"/>
                <w:sz w:val="22"/>
                <w:szCs w:val="22"/>
              </w:rPr>
              <w:t xml:space="preserve">§ 2º Caso os procedimentos e as ações corretivas propostas para solucionar a insuficiência do PLA em relação ao CMR ou para o cumprimento do requisito de qualidade de cobertura do CMR envolvam alterações em um dos tópicos descritos nos incisos do art. 2º deste Anexo, a supervisionada deverá, no respectivo item, </w:t>
            </w:r>
            <w:r w:rsidRPr="00B0788F">
              <w:rPr>
                <w:rFonts w:ascii="Calibri" w:hAnsi="Calibri" w:cs="Calibri"/>
                <w:color w:val="000000"/>
                <w:sz w:val="22"/>
                <w:szCs w:val="22"/>
              </w:rPr>
              <w:lastRenderedPageBreak/>
              <w:t>identificar e explicar, detalhadamente, as mudanças que serão realizadas e os resultados esperados.</w:t>
            </w:r>
          </w:p>
          <w:p w14:paraId="194EA44E" w14:textId="60369F8F" w:rsidR="00B0788F" w:rsidRPr="00B0788F" w:rsidRDefault="00B0788F" w:rsidP="00B0788F">
            <w:pPr>
              <w:jc w:val="both"/>
              <w:rPr>
                <w:rFonts w:ascii="Calibri" w:hAnsi="Calibri" w:cs="Calibri"/>
                <w:color w:val="000000"/>
                <w:sz w:val="22"/>
                <w:szCs w:val="22"/>
              </w:rPr>
            </w:pPr>
            <w:r w:rsidRPr="00B0788F">
              <w:rPr>
                <w:rFonts w:ascii="Calibri" w:hAnsi="Calibri" w:cs="Calibri"/>
                <w:color w:val="000000"/>
                <w:sz w:val="22"/>
                <w:szCs w:val="22"/>
              </w:rPr>
              <w:t>.........................................................................</w:t>
            </w:r>
            <w:r w:rsidR="00665A7E">
              <w:rPr>
                <w:rFonts w:ascii="Calibri" w:hAnsi="Calibri" w:cs="Calibri"/>
                <w:color w:val="000000"/>
                <w:sz w:val="22"/>
                <w:szCs w:val="22"/>
              </w:rPr>
              <w:t>..............</w:t>
            </w:r>
          </w:p>
          <w:p w14:paraId="7902125F" w14:textId="77777777" w:rsidR="00B0788F" w:rsidRPr="00B0788F" w:rsidRDefault="00B0788F" w:rsidP="00B0788F">
            <w:pPr>
              <w:jc w:val="both"/>
              <w:rPr>
                <w:rFonts w:ascii="Calibri" w:hAnsi="Calibri" w:cs="Calibri"/>
                <w:color w:val="000000"/>
                <w:sz w:val="22"/>
                <w:szCs w:val="22"/>
              </w:rPr>
            </w:pPr>
          </w:p>
          <w:p w14:paraId="5F87BA63" w14:textId="77777777" w:rsidR="00B0788F" w:rsidRPr="00B0788F" w:rsidRDefault="00B0788F" w:rsidP="00B0788F">
            <w:pPr>
              <w:jc w:val="both"/>
              <w:rPr>
                <w:rFonts w:ascii="Calibri" w:hAnsi="Calibri" w:cs="Calibri"/>
                <w:color w:val="000000"/>
                <w:sz w:val="22"/>
                <w:szCs w:val="22"/>
              </w:rPr>
            </w:pPr>
            <w:r w:rsidRPr="00B0788F">
              <w:rPr>
                <w:rFonts w:ascii="Calibri" w:hAnsi="Calibri" w:cs="Calibri"/>
                <w:color w:val="000000"/>
                <w:sz w:val="22"/>
                <w:szCs w:val="22"/>
              </w:rPr>
              <w:t>§ 4º Caso a proposta para solucionar a insuficiência do PLA em relação ao CMR ou para o cumprimento do requisito de qualidade de cobertura do CMR envolva alienação de imóveis, a supervisionada deverá apresentar relação detalhada dos bens que pretende vender, contendo, no mínimo, seus valores contábeis, a expectativa de valor de alienação, os ônus porventura existentes sobre os imóveis e os lucros/prejuízos esperados no resultado, os quais deverão ser considerados também nas projeções de que trata o art. 5º deste Anexo" (NR)</w:t>
            </w:r>
          </w:p>
          <w:p w14:paraId="75065189" w14:textId="77777777" w:rsidR="00B0788F" w:rsidRPr="00B0788F" w:rsidRDefault="00B0788F" w:rsidP="00B0788F">
            <w:pPr>
              <w:jc w:val="both"/>
              <w:rPr>
                <w:rFonts w:ascii="Calibri" w:hAnsi="Calibri" w:cs="Calibri"/>
                <w:color w:val="000000"/>
                <w:sz w:val="22"/>
                <w:szCs w:val="22"/>
              </w:rPr>
            </w:pPr>
          </w:p>
          <w:p w14:paraId="6920D9F5" w14:textId="77777777" w:rsidR="00B0788F" w:rsidRDefault="00B0788F" w:rsidP="00005C6E">
            <w:pPr>
              <w:jc w:val="both"/>
              <w:rPr>
                <w:rFonts w:ascii="Calibri" w:hAnsi="Calibri" w:cs="Calibri"/>
                <w:color w:val="000000"/>
                <w:sz w:val="22"/>
                <w:szCs w:val="22"/>
              </w:rPr>
            </w:pPr>
          </w:p>
        </w:tc>
        <w:tc>
          <w:tcPr>
            <w:tcW w:w="5245" w:type="dxa"/>
          </w:tcPr>
          <w:p w14:paraId="2C567A7D" w14:textId="77777777" w:rsidR="00B0788F" w:rsidRPr="0056460E" w:rsidRDefault="00B0788F" w:rsidP="007632B3">
            <w:pPr>
              <w:jc w:val="center"/>
              <w:rPr>
                <w:rFonts w:asciiTheme="minorHAnsi" w:hAnsiTheme="minorHAnsi"/>
                <w:b/>
                <w:bCs/>
                <w:sz w:val="22"/>
                <w:szCs w:val="22"/>
              </w:rPr>
            </w:pPr>
          </w:p>
        </w:tc>
        <w:tc>
          <w:tcPr>
            <w:tcW w:w="5532" w:type="dxa"/>
          </w:tcPr>
          <w:p w14:paraId="0CA5CD8D" w14:textId="77777777" w:rsidR="00B0788F" w:rsidRPr="0056460E" w:rsidRDefault="00B0788F" w:rsidP="007632B3">
            <w:pPr>
              <w:jc w:val="center"/>
              <w:rPr>
                <w:rFonts w:asciiTheme="minorHAnsi" w:hAnsiTheme="minorHAnsi"/>
                <w:b/>
                <w:bCs/>
                <w:sz w:val="22"/>
                <w:szCs w:val="22"/>
              </w:rPr>
            </w:pPr>
          </w:p>
        </w:tc>
      </w:tr>
      <w:tr w:rsidR="00B0788F" w:rsidRPr="0056460E" w14:paraId="5E474F18" w14:textId="77777777" w:rsidTr="007632B3">
        <w:trPr>
          <w:trHeight w:val="862"/>
        </w:trPr>
        <w:tc>
          <w:tcPr>
            <w:tcW w:w="5104" w:type="dxa"/>
          </w:tcPr>
          <w:p w14:paraId="36EEC0A2" w14:textId="1E420332" w:rsidR="00665A7E" w:rsidRPr="00665A7E" w:rsidRDefault="00665A7E" w:rsidP="00665A7E">
            <w:pPr>
              <w:jc w:val="both"/>
              <w:rPr>
                <w:rFonts w:ascii="Calibri" w:hAnsi="Calibri" w:cs="Calibri"/>
                <w:color w:val="000000"/>
                <w:sz w:val="22"/>
                <w:szCs w:val="22"/>
              </w:rPr>
            </w:pPr>
            <w:r w:rsidRPr="00665A7E">
              <w:rPr>
                <w:rFonts w:ascii="Calibri" w:hAnsi="Calibri" w:cs="Calibri"/>
                <w:color w:val="000000"/>
                <w:sz w:val="22"/>
                <w:szCs w:val="22"/>
              </w:rPr>
              <w:t>“Art. 5</w:t>
            </w:r>
            <w:proofErr w:type="gramStart"/>
            <w:r w:rsidRPr="00665A7E">
              <w:rPr>
                <w:rFonts w:ascii="Calibri" w:hAnsi="Calibri" w:cs="Calibri"/>
                <w:color w:val="000000"/>
                <w:sz w:val="22"/>
                <w:szCs w:val="22"/>
              </w:rPr>
              <w:t>º  ......................................................................</w:t>
            </w:r>
            <w:r>
              <w:rPr>
                <w:rFonts w:ascii="Calibri" w:hAnsi="Calibri" w:cs="Calibri"/>
                <w:color w:val="000000"/>
                <w:sz w:val="22"/>
                <w:szCs w:val="22"/>
              </w:rPr>
              <w:t>....</w:t>
            </w:r>
            <w:proofErr w:type="gramEnd"/>
          </w:p>
          <w:p w14:paraId="1D87CFC5" w14:textId="089C0E6A" w:rsidR="00665A7E" w:rsidRPr="00665A7E" w:rsidRDefault="00665A7E" w:rsidP="00665A7E">
            <w:pPr>
              <w:jc w:val="both"/>
              <w:rPr>
                <w:rFonts w:ascii="Calibri" w:hAnsi="Calibri" w:cs="Calibri"/>
                <w:color w:val="000000"/>
                <w:sz w:val="22"/>
                <w:szCs w:val="22"/>
              </w:rPr>
            </w:pPr>
            <w:r w:rsidRPr="00665A7E">
              <w:rPr>
                <w:rFonts w:ascii="Calibri" w:hAnsi="Calibri" w:cs="Calibri"/>
                <w:color w:val="000000"/>
                <w:sz w:val="22"/>
                <w:szCs w:val="22"/>
              </w:rPr>
              <w:t>........................................................................................</w:t>
            </w:r>
          </w:p>
          <w:p w14:paraId="7E3A88F6" w14:textId="77777777" w:rsidR="00665A7E" w:rsidRPr="00665A7E" w:rsidRDefault="00665A7E" w:rsidP="00665A7E">
            <w:pPr>
              <w:jc w:val="both"/>
              <w:rPr>
                <w:rFonts w:ascii="Calibri" w:hAnsi="Calibri" w:cs="Calibri"/>
                <w:color w:val="000000"/>
                <w:sz w:val="22"/>
                <w:szCs w:val="22"/>
              </w:rPr>
            </w:pPr>
          </w:p>
          <w:p w14:paraId="26A55023" w14:textId="77777777" w:rsidR="00665A7E" w:rsidRPr="00665A7E" w:rsidRDefault="00665A7E" w:rsidP="00665A7E">
            <w:pPr>
              <w:jc w:val="both"/>
              <w:rPr>
                <w:rFonts w:ascii="Calibri" w:hAnsi="Calibri" w:cs="Calibri"/>
                <w:color w:val="000000"/>
                <w:sz w:val="22"/>
                <w:szCs w:val="22"/>
              </w:rPr>
            </w:pPr>
            <w:r w:rsidRPr="00665A7E">
              <w:rPr>
                <w:rFonts w:ascii="Calibri" w:hAnsi="Calibri" w:cs="Calibri"/>
                <w:color w:val="000000"/>
                <w:sz w:val="22"/>
                <w:szCs w:val="22"/>
              </w:rPr>
              <w:t xml:space="preserve">V - </w:t>
            </w:r>
            <w:proofErr w:type="gramStart"/>
            <w:r w:rsidRPr="00665A7E">
              <w:rPr>
                <w:rFonts w:ascii="Calibri" w:hAnsi="Calibri" w:cs="Calibri"/>
                <w:color w:val="000000"/>
                <w:sz w:val="22"/>
                <w:szCs w:val="22"/>
              </w:rPr>
              <w:t>valores</w:t>
            </w:r>
            <w:proofErr w:type="gramEnd"/>
            <w:r w:rsidRPr="00665A7E">
              <w:rPr>
                <w:rFonts w:ascii="Calibri" w:hAnsi="Calibri" w:cs="Calibri"/>
                <w:color w:val="000000"/>
                <w:sz w:val="22"/>
                <w:szCs w:val="22"/>
              </w:rPr>
              <w:t xml:space="preserve"> esperados dos ajustes contábeis, dos ajustes associados à variação dos valores econômicos do PLA e de cada nível de PLA; e</w:t>
            </w:r>
          </w:p>
          <w:p w14:paraId="2F00117A" w14:textId="77777777" w:rsidR="00665A7E" w:rsidRPr="00665A7E" w:rsidRDefault="00665A7E" w:rsidP="00665A7E">
            <w:pPr>
              <w:jc w:val="both"/>
              <w:rPr>
                <w:rFonts w:ascii="Calibri" w:hAnsi="Calibri" w:cs="Calibri"/>
                <w:color w:val="000000"/>
                <w:sz w:val="22"/>
                <w:szCs w:val="22"/>
              </w:rPr>
            </w:pPr>
          </w:p>
          <w:p w14:paraId="30AB4917" w14:textId="77777777" w:rsidR="00665A7E" w:rsidRPr="00665A7E" w:rsidRDefault="00665A7E" w:rsidP="00665A7E">
            <w:pPr>
              <w:jc w:val="both"/>
              <w:rPr>
                <w:rFonts w:ascii="Calibri" w:hAnsi="Calibri" w:cs="Calibri"/>
                <w:color w:val="000000"/>
                <w:sz w:val="22"/>
                <w:szCs w:val="22"/>
              </w:rPr>
            </w:pPr>
            <w:r w:rsidRPr="00665A7E">
              <w:rPr>
                <w:rFonts w:ascii="Calibri" w:hAnsi="Calibri" w:cs="Calibri"/>
                <w:color w:val="000000"/>
                <w:sz w:val="22"/>
                <w:szCs w:val="22"/>
              </w:rPr>
              <w:t xml:space="preserve">VI - </w:t>
            </w:r>
            <w:proofErr w:type="gramStart"/>
            <w:r w:rsidRPr="00665A7E">
              <w:rPr>
                <w:rFonts w:ascii="Calibri" w:hAnsi="Calibri" w:cs="Calibri"/>
                <w:color w:val="000000"/>
                <w:sz w:val="22"/>
                <w:szCs w:val="22"/>
              </w:rPr>
              <w:t>composição</w:t>
            </w:r>
            <w:proofErr w:type="gramEnd"/>
            <w:r w:rsidRPr="00665A7E">
              <w:rPr>
                <w:rFonts w:ascii="Calibri" w:hAnsi="Calibri" w:cs="Calibri"/>
                <w:color w:val="000000"/>
                <w:sz w:val="22"/>
                <w:szCs w:val="22"/>
              </w:rPr>
              <w:t xml:space="preserve"> esperada de cada nível de PLA.</w:t>
            </w:r>
          </w:p>
          <w:p w14:paraId="361FD40B" w14:textId="77777777" w:rsidR="00665A7E" w:rsidRPr="00665A7E" w:rsidRDefault="00665A7E" w:rsidP="00665A7E">
            <w:pPr>
              <w:jc w:val="both"/>
              <w:rPr>
                <w:rFonts w:ascii="Calibri" w:hAnsi="Calibri" w:cs="Calibri"/>
                <w:color w:val="000000"/>
                <w:sz w:val="22"/>
                <w:szCs w:val="22"/>
              </w:rPr>
            </w:pPr>
          </w:p>
          <w:p w14:paraId="7E1677EB" w14:textId="77777777" w:rsidR="00665A7E" w:rsidRPr="00665A7E" w:rsidRDefault="00665A7E" w:rsidP="00665A7E">
            <w:pPr>
              <w:jc w:val="both"/>
              <w:rPr>
                <w:rFonts w:ascii="Calibri" w:hAnsi="Calibri" w:cs="Calibri"/>
                <w:color w:val="000000"/>
                <w:sz w:val="22"/>
                <w:szCs w:val="22"/>
              </w:rPr>
            </w:pPr>
            <w:r w:rsidRPr="00665A7E">
              <w:rPr>
                <w:rFonts w:ascii="Calibri" w:hAnsi="Calibri" w:cs="Calibri"/>
                <w:color w:val="000000"/>
                <w:sz w:val="22"/>
                <w:szCs w:val="22"/>
              </w:rPr>
              <w:t>§ 1º As projeções de valores referentes aos incisos I a VI deverão ser trimestrais, ao longo do prazo para a solução da insuficiência ou para o cumprimento do requisito de qualidade de cobertura do CMR.</w:t>
            </w:r>
          </w:p>
          <w:p w14:paraId="4CF880D3" w14:textId="77777777" w:rsidR="00B0788F" w:rsidRDefault="00665A7E" w:rsidP="00665A7E">
            <w:pPr>
              <w:jc w:val="both"/>
              <w:rPr>
                <w:rFonts w:ascii="Calibri" w:hAnsi="Calibri" w:cs="Calibri"/>
                <w:color w:val="000000"/>
                <w:sz w:val="22"/>
                <w:szCs w:val="22"/>
              </w:rPr>
            </w:pPr>
            <w:r w:rsidRPr="00665A7E">
              <w:rPr>
                <w:rFonts w:ascii="Calibri" w:hAnsi="Calibri" w:cs="Calibri"/>
                <w:color w:val="000000"/>
                <w:sz w:val="22"/>
                <w:szCs w:val="22"/>
              </w:rPr>
              <w:t>.........................................</w:t>
            </w:r>
            <w:r>
              <w:rPr>
                <w:rFonts w:ascii="Calibri" w:hAnsi="Calibri" w:cs="Calibri"/>
                <w:color w:val="000000"/>
                <w:sz w:val="22"/>
                <w:szCs w:val="22"/>
              </w:rPr>
              <w:t>............................</w:t>
            </w:r>
            <w:r w:rsidRPr="00665A7E">
              <w:rPr>
                <w:rFonts w:ascii="Calibri" w:hAnsi="Calibri" w:cs="Calibri"/>
                <w:color w:val="000000"/>
                <w:sz w:val="22"/>
                <w:szCs w:val="22"/>
              </w:rPr>
              <w:t>.........” (NR)</w:t>
            </w:r>
          </w:p>
          <w:p w14:paraId="55426658" w14:textId="2FC8FF57" w:rsidR="00665A7E" w:rsidRDefault="00665A7E" w:rsidP="00665A7E">
            <w:pPr>
              <w:jc w:val="both"/>
              <w:rPr>
                <w:rFonts w:ascii="Calibri" w:hAnsi="Calibri" w:cs="Calibri"/>
                <w:color w:val="000000"/>
                <w:sz w:val="22"/>
                <w:szCs w:val="22"/>
              </w:rPr>
            </w:pPr>
          </w:p>
        </w:tc>
        <w:tc>
          <w:tcPr>
            <w:tcW w:w="5245" w:type="dxa"/>
          </w:tcPr>
          <w:p w14:paraId="6F5D2884" w14:textId="77777777" w:rsidR="00B0788F" w:rsidRPr="0056460E" w:rsidRDefault="00B0788F" w:rsidP="007632B3">
            <w:pPr>
              <w:jc w:val="center"/>
              <w:rPr>
                <w:rFonts w:asciiTheme="minorHAnsi" w:hAnsiTheme="minorHAnsi"/>
                <w:b/>
                <w:bCs/>
                <w:sz w:val="22"/>
                <w:szCs w:val="22"/>
              </w:rPr>
            </w:pPr>
          </w:p>
        </w:tc>
        <w:tc>
          <w:tcPr>
            <w:tcW w:w="5532" w:type="dxa"/>
          </w:tcPr>
          <w:p w14:paraId="63E83508" w14:textId="77777777" w:rsidR="00B0788F" w:rsidRPr="0056460E" w:rsidRDefault="00B0788F" w:rsidP="007632B3">
            <w:pPr>
              <w:jc w:val="center"/>
              <w:rPr>
                <w:rFonts w:asciiTheme="minorHAnsi" w:hAnsiTheme="minorHAnsi"/>
                <w:b/>
                <w:bCs/>
                <w:sz w:val="22"/>
                <w:szCs w:val="22"/>
              </w:rPr>
            </w:pPr>
          </w:p>
        </w:tc>
      </w:tr>
      <w:tr w:rsidR="00B0788F" w:rsidRPr="0056460E" w14:paraId="193BBECD" w14:textId="77777777" w:rsidTr="007632B3">
        <w:trPr>
          <w:trHeight w:val="862"/>
        </w:trPr>
        <w:tc>
          <w:tcPr>
            <w:tcW w:w="5104" w:type="dxa"/>
          </w:tcPr>
          <w:p w14:paraId="371D7D8D" w14:textId="77FC364F" w:rsidR="00665A7E" w:rsidRPr="00665A7E" w:rsidRDefault="00C842E7" w:rsidP="00665A7E">
            <w:pPr>
              <w:jc w:val="both"/>
              <w:rPr>
                <w:rFonts w:ascii="Calibri" w:hAnsi="Calibri" w:cs="Calibri"/>
                <w:color w:val="000000"/>
                <w:sz w:val="22"/>
                <w:szCs w:val="22"/>
              </w:rPr>
            </w:pPr>
            <w:r>
              <w:rPr>
                <w:rFonts w:ascii="Calibri" w:hAnsi="Calibri" w:cs="Calibri"/>
                <w:color w:val="000000"/>
                <w:sz w:val="22"/>
                <w:szCs w:val="22"/>
              </w:rPr>
              <w:t xml:space="preserve">“Art. 6º </w:t>
            </w:r>
            <w:r w:rsidR="00665A7E" w:rsidRPr="00665A7E">
              <w:rPr>
                <w:rFonts w:ascii="Calibri" w:hAnsi="Calibri" w:cs="Calibri"/>
                <w:color w:val="000000"/>
                <w:sz w:val="22"/>
                <w:szCs w:val="22"/>
              </w:rPr>
              <w:t>Para acompanhamento dos procedimentos e das ações corretivas a serem adotadas para a solução da insuficiência do PLA em relação ao CMR ou para o cumprimento do requisito de qualidade de cobertura do CMR, a supervisionada deverá indicar no PRS as variáveis de controle utilizadas, com as respectivas margens de segurança e as medidas corretivas em caso de identificação de desvio de planejamento." (NR)</w:t>
            </w:r>
          </w:p>
          <w:p w14:paraId="774D98DB" w14:textId="77777777" w:rsidR="00B0788F" w:rsidRDefault="00B0788F" w:rsidP="00005C6E">
            <w:pPr>
              <w:jc w:val="both"/>
              <w:rPr>
                <w:rFonts w:ascii="Calibri" w:hAnsi="Calibri" w:cs="Calibri"/>
                <w:color w:val="000000"/>
                <w:sz w:val="22"/>
                <w:szCs w:val="22"/>
              </w:rPr>
            </w:pPr>
          </w:p>
        </w:tc>
        <w:tc>
          <w:tcPr>
            <w:tcW w:w="5245" w:type="dxa"/>
          </w:tcPr>
          <w:p w14:paraId="76EE0929" w14:textId="77777777" w:rsidR="00B0788F" w:rsidRPr="0056460E" w:rsidRDefault="00B0788F" w:rsidP="007632B3">
            <w:pPr>
              <w:jc w:val="center"/>
              <w:rPr>
                <w:rFonts w:asciiTheme="minorHAnsi" w:hAnsiTheme="minorHAnsi"/>
                <w:b/>
                <w:bCs/>
                <w:sz w:val="22"/>
                <w:szCs w:val="22"/>
              </w:rPr>
            </w:pPr>
          </w:p>
        </w:tc>
        <w:tc>
          <w:tcPr>
            <w:tcW w:w="5532" w:type="dxa"/>
          </w:tcPr>
          <w:p w14:paraId="24E250A0" w14:textId="77777777" w:rsidR="00B0788F" w:rsidRPr="0056460E" w:rsidRDefault="00B0788F" w:rsidP="007632B3">
            <w:pPr>
              <w:jc w:val="center"/>
              <w:rPr>
                <w:rFonts w:asciiTheme="minorHAnsi" w:hAnsiTheme="minorHAnsi"/>
                <w:b/>
                <w:bCs/>
                <w:sz w:val="22"/>
                <w:szCs w:val="22"/>
              </w:rPr>
            </w:pPr>
          </w:p>
        </w:tc>
      </w:tr>
      <w:tr w:rsidR="00B0788F" w:rsidRPr="0056460E" w14:paraId="3EB06B54" w14:textId="77777777" w:rsidTr="007632B3">
        <w:trPr>
          <w:trHeight w:val="862"/>
        </w:trPr>
        <w:tc>
          <w:tcPr>
            <w:tcW w:w="5104" w:type="dxa"/>
          </w:tcPr>
          <w:p w14:paraId="5AB595FB" w14:textId="6C2F731B" w:rsidR="00B0788F" w:rsidRDefault="00665A7E" w:rsidP="00005C6E">
            <w:pPr>
              <w:jc w:val="both"/>
              <w:rPr>
                <w:rFonts w:ascii="Calibri" w:hAnsi="Calibri" w:cs="Calibri"/>
                <w:color w:val="000000"/>
                <w:sz w:val="22"/>
                <w:szCs w:val="22"/>
              </w:rPr>
            </w:pPr>
            <w:r>
              <w:rPr>
                <w:rFonts w:ascii="Calibri" w:hAnsi="Calibri" w:cs="Calibri"/>
                <w:color w:val="000000"/>
                <w:sz w:val="22"/>
                <w:szCs w:val="22"/>
              </w:rPr>
              <w:lastRenderedPageBreak/>
              <w:t>Art. 3º Inserir Anexo XV na Circular Susep nº 517, de 30 de julho de 2015, com a seguinte redação:</w:t>
            </w:r>
          </w:p>
        </w:tc>
        <w:tc>
          <w:tcPr>
            <w:tcW w:w="5245" w:type="dxa"/>
          </w:tcPr>
          <w:p w14:paraId="0347A48A" w14:textId="77777777" w:rsidR="00B0788F" w:rsidRPr="0056460E" w:rsidRDefault="00B0788F" w:rsidP="007632B3">
            <w:pPr>
              <w:jc w:val="center"/>
              <w:rPr>
                <w:rFonts w:asciiTheme="minorHAnsi" w:hAnsiTheme="minorHAnsi"/>
                <w:b/>
                <w:bCs/>
                <w:sz w:val="22"/>
                <w:szCs w:val="22"/>
              </w:rPr>
            </w:pPr>
          </w:p>
        </w:tc>
        <w:tc>
          <w:tcPr>
            <w:tcW w:w="5532" w:type="dxa"/>
          </w:tcPr>
          <w:p w14:paraId="6E7FFA40" w14:textId="77777777" w:rsidR="00B0788F" w:rsidRPr="0056460E" w:rsidRDefault="00B0788F" w:rsidP="007632B3">
            <w:pPr>
              <w:jc w:val="center"/>
              <w:rPr>
                <w:rFonts w:asciiTheme="minorHAnsi" w:hAnsiTheme="minorHAnsi"/>
                <w:b/>
                <w:bCs/>
                <w:sz w:val="22"/>
                <w:szCs w:val="22"/>
              </w:rPr>
            </w:pPr>
          </w:p>
        </w:tc>
      </w:tr>
      <w:tr w:rsidR="00B0788F" w:rsidRPr="0056460E" w14:paraId="2672B293" w14:textId="77777777" w:rsidTr="007632B3">
        <w:trPr>
          <w:trHeight w:val="862"/>
        </w:trPr>
        <w:tc>
          <w:tcPr>
            <w:tcW w:w="5104" w:type="dxa"/>
          </w:tcPr>
          <w:p w14:paraId="5A696E90" w14:textId="77777777" w:rsidR="00665A7E" w:rsidRPr="00665A7E" w:rsidRDefault="00665A7E" w:rsidP="00665A7E">
            <w:pPr>
              <w:jc w:val="both"/>
              <w:rPr>
                <w:rFonts w:ascii="Calibri" w:hAnsi="Calibri" w:cs="Calibri"/>
                <w:b/>
                <w:color w:val="000000"/>
                <w:sz w:val="22"/>
                <w:szCs w:val="22"/>
              </w:rPr>
            </w:pPr>
            <w:r w:rsidRPr="00665A7E">
              <w:rPr>
                <w:rFonts w:ascii="Calibri" w:hAnsi="Calibri" w:cs="Calibri"/>
                <w:b/>
                <w:color w:val="000000"/>
                <w:sz w:val="22"/>
                <w:szCs w:val="22"/>
              </w:rPr>
              <w:t>“ANEXO XV</w:t>
            </w:r>
          </w:p>
          <w:p w14:paraId="33190862" w14:textId="77777777" w:rsidR="00B0788F" w:rsidRDefault="00665A7E" w:rsidP="00665A7E">
            <w:pPr>
              <w:jc w:val="both"/>
              <w:rPr>
                <w:rFonts w:ascii="Calibri" w:hAnsi="Calibri" w:cs="Calibri"/>
                <w:b/>
                <w:color w:val="000000"/>
                <w:sz w:val="22"/>
                <w:szCs w:val="22"/>
              </w:rPr>
            </w:pPr>
            <w:r w:rsidRPr="00665A7E">
              <w:rPr>
                <w:rFonts w:ascii="Calibri" w:hAnsi="Calibri" w:cs="Calibri"/>
                <w:b/>
                <w:color w:val="000000"/>
                <w:sz w:val="22"/>
                <w:szCs w:val="22"/>
              </w:rPr>
              <w:t>ELEMENTOS MÍNIMOS DO PRC</w:t>
            </w:r>
          </w:p>
          <w:p w14:paraId="2ECD9914" w14:textId="7B66D57D" w:rsidR="00665A7E" w:rsidRDefault="00665A7E" w:rsidP="00665A7E">
            <w:pPr>
              <w:jc w:val="both"/>
              <w:rPr>
                <w:rFonts w:ascii="Calibri" w:hAnsi="Calibri" w:cs="Calibri"/>
                <w:color w:val="000000"/>
                <w:sz w:val="22"/>
                <w:szCs w:val="22"/>
              </w:rPr>
            </w:pPr>
          </w:p>
        </w:tc>
        <w:tc>
          <w:tcPr>
            <w:tcW w:w="5245" w:type="dxa"/>
          </w:tcPr>
          <w:p w14:paraId="20766BB6" w14:textId="77777777" w:rsidR="00B0788F" w:rsidRPr="0056460E" w:rsidRDefault="00B0788F" w:rsidP="007632B3">
            <w:pPr>
              <w:jc w:val="center"/>
              <w:rPr>
                <w:rFonts w:asciiTheme="minorHAnsi" w:hAnsiTheme="minorHAnsi"/>
                <w:b/>
                <w:bCs/>
                <w:sz w:val="22"/>
                <w:szCs w:val="22"/>
              </w:rPr>
            </w:pPr>
          </w:p>
        </w:tc>
        <w:tc>
          <w:tcPr>
            <w:tcW w:w="5532" w:type="dxa"/>
          </w:tcPr>
          <w:p w14:paraId="7A0ED79E" w14:textId="77777777" w:rsidR="00B0788F" w:rsidRPr="0056460E" w:rsidRDefault="00B0788F" w:rsidP="007632B3">
            <w:pPr>
              <w:jc w:val="center"/>
              <w:rPr>
                <w:rFonts w:asciiTheme="minorHAnsi" w:hAnsiTheme="minorHAnsi"/>
                <w:b/>
                <w:bCs/>
                <w:sz w:val="22"/>
                <w:szCs w:val="22"/>
              </w:rPr>
            </w:pPr>
          </w:p>
        </w:tc>
      </w:tr>
      <w:tr w:rsidR="00B0788F" w:rsidRPr="0056460E" w14:paraId="03540FD0" w14:textId="77777777" w:rsidTr="007632B3">
        <w:trPr>
          <w:trHeight w:val="862"/>
        </w:trPr>
        <w:tc>
          <w:tcPr>
            <w:tcW w:w="5104" w:type="dxa"/>
          </w:tcPr>
          <w:p w14:paraId="1DB08555" w14:textId="2F777359" w:rsidR="00665A7E" w:rsidRDefault="00665A7E" w:rsidP="00005C6E">
            <w:pPr>
              <w:jc w:val="both"/>
              <w:rPr>
                <w:rFonts w:ascii="Calibri" w:hAnsi="Calibri" w:cs="Calibri"/>
                <w:color w:val="000000"/>
                <w:sz w:val="22"/>
                <w:szCs w:val="22"/>
              </w:rPr>
            </w:pPr>
            <w:r w:rsidRPr="00665A7E">
              <w:rPr>
                <w:rFonts w:ascii="Calibri" w:hAnsi="Calibri" w:cs="Calibri"/>
                <w:color w:val="000000"/>
                <w:sz w:val="22"/>
                <w:szCs w:val="22"/>
              </w:rPr>
              <w:t>Art. 1</w:t>
            </w:r>
            <w:proofErr w:type="gramStart"/>
            <w:r w:rsidRPr="00665A7E">
              <w:rPr>
                <w:rFonts w:ascii="Calibri" w:hAnsi="Calibri" w:cs="Calibri"/>
                <w:color w:val="000000"/>
                <w:sz w:val="22"/>
                <w:szCs w:val="22"/>
              </w:rPr>
              <w:t>º  O</w:t>
            </w:r>
            <w:proofErr w:type="gramEnd"/>
            <w:r w:rsidRPr="00665A7E">
              <w:rPr>
                <w:rFonts w:ascii="Calibri" w:hAnsi="Calibri" w:cs="Calibri"/>
                <w:color w:val="000000"/>
                <w:sz w:val="22"/>
                <w:szCs w:val="22"/>
              </w:rPr>
              <w:t xml:space="preserve"> PRC será identificado pela razão social, CNPJ e código na Susep da supervisionada.</w:t>
            </w:r>
          </w:p>
          <w:p w14:paraId="1A8E1E8A" w14:textId="77777777" w:rsidR="00B0788F" w:rsidRPr="00665A7E" w:rsidRDefault="00B0788F" w:rsidP="00665A7E">
            <w:pPr>
              <w:rPr>
                <w:rFonts w:ascii="Calibri" w:hAnsi="Calibri" w:cs="Calibri"/>
                <w:sz w:val="22"/>
                <w:szCs w:val="22"/>
              </w:rPr>
            </w:pPr>
          </w:p>
        </w:tc>
        <w:tc>
          <w:tcPr>
            <w:tcW w:w="5245" w:type="dxa"/>
          </w:tcPr>
          <w:p w14:paraId="17F7C315" w14:textId="77777777" w:rsidR="00B0788F" w:rsidRPr="0056460E" w:rsidRDefault="00B0788F" w:rsidP="007632B3">
            <w:pPr>
              <w:jc w:val="center"/>
              <w:rPr>
                <w:rFonts w:asciiTheme="minorHAnsi" w:hAnsiTheme="minorHAnsi"/>
                <w:b/>
                <w:bCs/>
                <w:sz w:val="22"/>
                <w:szCs w:val="22"/>
              </w:rPr>
            </w:pPr>
          </w:p>
        </w:tc>
        <w:tc>
          <w:tcPr>
            <w:tcW w:w="5532" w:type="dxa"/>
          </w:tcPr>
          <w:p w14:paraId="1703AEC2" w14:textId="77777777" w:rsidR="00B0788F" w:rsidRPr="0056460E" w:rsidRDefault="00B0788F" w:rsidP="007632B3">
            <w:pPr>
              <w:jc w:val="center"/>
              <w:rPr>
                <w:rFonts w:asciiTheme="minorHAnsi" w:hAnsiTheme="minorHAnsi"/>
                <w:b/>
                <w:bCs/>
                <w:sz w:val="22"/>
                <w:szCs w:val="22"/>
              </w:rPr>
            </w:pPr>
          </w:p>
        </w:tc>
      </w:tr>
      <w:tr w:rsidR="00B0788F" w:rsidRPr="0056460E" w14:paraId="26024EC2" w14:textId="77777777" w:rsidTr="007632B3">
        <w:trPr>
          <w:trHeight w:val="862"/>
        </w:trPr>
        <w:tc>
          <w:tcPr>
            <w:tcW w:w="5104" w:type="dxa"/>
          </w:tcPr>
          <w:p w14:paraId="2A67B9A6" w14:textId="77777777" w:rsidR="00B0788F" w:rsidRDefault="00665A7E" w:rsidP="00005C6E">
            <w:pPr>
              <w:jc w:val="both"/>
              <w:rPr>
                <w:rFonts w:ascii="Calibri" w:hAnsi="Calibri" w:cs="Calibri"/>
                <w:color w:val="000000"/>
                <w:sz w:val="22"/>
                <w:szCs w:val="22"/>
              </w:rPr>
            </w:pPr>
            <w:r>
              <w:rPr>
                <w:rFonts w:ascii="Calibri" w:hAnsi="Calibri" w:cs="Calibri"/>
                <w:color w:val="000000"/>
                <w:sz w:val="22"/>
                <w:szCs w:val="22"/>
              </w:rPr>
              <w:t>Art. 2</w:t>
            </w:r>
            <w:proofErr w:type="gramStart"/>
            <w:r>
              <w:rPr>
                <w:rFonts w:ascii="Calibri" w:hAnsi="Calibri" w:cs="Calibri"/>
                <w:color w:val="000000"/>
                <w:sz w:val="22"/>
                <w:szCs w:val="22"/>
              </w:rPr>
              <w:t>º  A</w:t>
            </w:r>
            <w:proofErr w:type="gramEnd"/>
            <w:r>
              <w:rPr>
                <w:rFonts w:ascii="Calibri" w:hAnsi="Calibri" w:cs="Calibri"/>
                <w:color w:val="000000"/>
                <w:sz w:val="22"/>
                <w:szCs w:val="22"/>
              </w:rPr>
              <w:t xml:space="preserve"> supervisionada deverá identificar no PRC, precisa e detalhadamente, os fatores que contribuíram para a insuficiência de cobertura de provisões técnicas.</w:t>
            </w:r>
          </w:p>
          <w:p w14:paraId="1EBDBB3A" w14:textId="67906B0D" w:rsidR="00665A7E" w:rsidRDefault="00665A7E" w:rsidP="00005C6E">
            <w:pPr>
              <w:jc w:val="both"/>
              <w:rPr>
                <w:rFonts w:ascii="Calibri" w:hAnsi="Calibri" w:cs="Calibri"/>
                <w:color w:val="000000"/>
                <w:sz w:val="22"/>
                <w:szCs w:val="22"/>
              </w:rPr>
            </w:pPr>
          </w:p>
        </w:tc>
        <w:tc>
          <w:tcPr>
            <w:tcW w:w="5245" w:type="dxa"/>
          </w:tcPr>
          <w:p w14:paraId="6FC4503F" w14:textId="77777777" w:rsidR="00B0788F" w:rsidRPr="0056460E" w:rsidRDefault="00B0788F" w:rsidP="007632B3">
            <w:pPr>
              <w:jc w:val="center"/>
              <w:rPr>
                <w:rFonts w:asciiTheme="minorHAnsi" w:hAnsiTheme="minorHAnsi"/>
                <w:b/>
                <w:bCs/>
                <w:sz w:val="22"/>
                <w:szCs w:val="22"/>
              </w:rPr>
            </w:pPr>
          </w:p>
        </w:tc>
        <w:tc>
          <w:tcPr>
            <w:tcW w:w="5532" w:type="dxa"/>
          </w:tcPr>
          <w:p w14:paraId="59477938" w14:textId="77777777" w:rsidR="00B0788F" w:rsidRPr="0056460E" w:rsidRDefault="00B0788F" w:rsidP="007632B3">
            <w:pPr>
              <w:jc w:val="center"/>
              <w:rPr>
                <w:rFonts w:asciiTheme="minorHAnsi" w:hAnsiTheme="minorHAnsi"/>
                <w:b/>
                <w:bCs/>
                <w:sz w:val="22"/>
                <w:szCs w:val="22"/>
              </w:rPr>
            </w:pPr>
          </w:p>
        </w:tc>
      </w:tr>
      <w:tr w:rsidR="00B0788F" w:rsidRPr="0056460E" w14:paraId="1BDD9582" w14:textId="77777777" w:rsidTr="007632B3">
        <w:trPr>
          <w:trHeight w:val="862"/>
        </w:trPr>
        <w:tc>
          <w:tcPr>
            <w:tcW w:w="5104" w:type="dxa"/>
          </w:tcPr>
          <w:p w14:paraId="0B47EBFB" w14:textId="77777777" w:rsidR="00B0788F" w:rsidRDefault="00665A7E" w:rsidP="00005C6E">
            <w:pPr>
              <w:jc w:val="both"/>
              <w:rPr>
                <w:rFonts w:ascii="Calibri" w:hAnsi="Calibri" w:cs="Calibri"/>
                <w:color w:val="000000"/>
                <w:sz w:val="22"/>
                <w:szCs w:val="22"/>
              </w:rPr>
            </w:pPr>
            <w:r>
              <w:rPr>
                <w:rFonts w:ascii="Calibri" w:hAnsi="Calibri" w:cs="Calibri"/>
                <w:color w:val="000000"/>
                <w:sz w:val="22"/>
                <w:szCs w:val="22"/>
              </w:rPr>
              <w:t>Art. 3</w:t>
            </w:r>
            <w:proofErr w:type="gramStart"/>
            <w:r>
              <w:rPr>
                <w:rFonts w:ascii="Calibri" w:hAnsi="Calibri" w:cs="Calibri"/>
                <w:color w:val="000000"/>
                <w:sz w:val="22"/>
                <w:szCs w:val="22"/>
              </w:rPr>
              <w:t>º  A</w:t>
            </w:r>
            <w:proofErr w:type="gramEnd"/>
            <w:r>
              <w:rPr>
                <w:rFonts w:ascii="Calibri" w:hAnsi="Calibri" w:cs="Calibri"/>
                <w:color w:val="000000"/>
                <w:sz w:val="22"/>
                <w:szCs w:val="22"/>
              </w:rPr>
              <w:t xml:space="preserve"> supervisionada deverá indicar no PRC, precisa e detalhadamente, os procedimentos e as ações corretivas a serem adotadas para a solução da insuficiência de cobertura de provisões técnicas.</w:t>
            </w:r>
          </w:p>
          <w:p w14:paraId="25EEAB66" w14:textId="77777777" w:rsidR="00665A7E" w:rsidRDefault="00665A7E" w:rsidP="00005C6E">
            <w:pPr>
              <w:jc w:val="both"/>
              <w:rPr>
                <w:rFonts w:ascii="Calibri" w:hAnsi="Calibri" w:cs="Calibri"/>
                <w:color w:val="000000"/>
                <w:sz w:val="22"/>
                <w:szCs w:val="22"/>
              </w:rPr>
            </w:pPr>
          </w:p>
          <w:p w14:paraId="246176C8" w14:textId="77777777" w:rsidR="00665A7E" w:rsidRPr="00665A7E" w:rsidRDefault="00665A7E" w:rsidP="00665A7E">
            <w:pPr>
              <w:jc w:val="both"/>
              <w:rPr>
                <w:rFonts w:ascii="Calibri" w:hAnsi="Calibri" w:cs="Calibri"/>
                <w:color w:val="000000"/>
                <w:sz w:val="22"/>
                <w:szCs w:val="22"/>
              </w:rPr>
            </w:pPr>
            <w:r w:rsidRPr="00665A7E">
              <w:rPr>
                <w:rFonts w:ascii="Calibri" w:hAnsi="Calibri" w:cs="Calibri"/>
                <w:color w:val="000000"/>
                <w:sz w:val="22"/>
                <w:szCs w:val="22"/>
              </w:rPr>
              <w:t>§ 1º Caso a proposta para solucionar a insuficiência dependa de aportes de recursos ou emissão de dívidas subordinadas, que serão usados na compra de ativos, a supervisionada deverá indicar o prazo e a forma de realização destes aportes ou emissões, identificando as fontes de recursos.</w:t>
            </w:r>
          </w:p>
          <w:p w14:paraId="4A169E83" w14:textId="77777777" w:rsidR="00665A7E" w:rsidRPr="00665A7E" w:rsidRDefault="00665A7E" w:rsidP="00665A7E">
            <w:pPr>
              <w:jc w:val="both"/>
              <w:rPr>
                <w:rFonts w:ascii="Calibri" w:hAnsi="Calibri" w:cs="Calibri"/>
                <w:color w:val="000000"/>
                <w:sz w:val="22"/>
                <w:szCs w:val="22"/>
              </w:rPr>
            </w:pPr>
          </w:p>
          <w:p w14:paraId="60CBE8D8" w14:textId="77777777" w:rsidR="00665A7E" w:rsidRPr="00665A7E" w:rsidRDefault="00665A7E" w:rsidP="00665A7E">
            <w:pPr>
              <w:jc w:val="both"/>
              <w:rPr>
                <w:rFonts w:ascii="Calibri" w:hAnsi="Calibri" w:cs="Calibri"/>
                <w:color w:val="000000"/>
                <w:sz w:val="22"/>
                <w:szCs w:val="22"/>
              </w:rPr>
            </w:pPr>
            <w:r w:rsidRPr="00665A7E">
              <w:rPr>
                <w:rFonts w:ascii="Calibri" w:hAnsi="Calibri" w:cs="Calibri"/>
                <w:color w:val="000000"/>
                <w:sz w:val="22"/>
                <w:szCs w:val="22"/>
              </w:rPr>
              <w:t>§ 2º No caso de transferência de carteira ou de mudança de área geográfica de atuação, a supervisionada deverá indicar o número do processo aberto na Susep para tal fim.</w:t>
            </w:r>
          </w:p>
          <w:p w14:paraId="09B09DD5" w14:textId="77777777" w:rsidR="00665A7E" w:rsidRPr="00665A7E" w:rsidRDefault="00665A7E" w:rsidP="00665A7E">
            <w:pPr>
              <w:jc w:val="both"/>
              <w:rPr>
                <w:rFonts w:ascii="Calibri" w:hAnsi="Calibri" w:cs="Calibri"/>
                <w:color w:val="000000"/>
                <w:sz w:val="22"/>
                <w:szCs w:val="22"/>
              </w:rPr>
            </w:pPr>
          </w:p>
          <w:p w14:paraId="3E7396D3" w14:textId="77777777" w:rsidR="00665A7E" w:rsidRDefault="00665A7E" w:rsidP="00665A7E">
            <w:pPr>
              <w:jc w:val="both"/>
              <w:rPr>
                <w:rFonts w:ascii="Calibri" w:hAnsi="Calibri" w:cs="Calibri"/>
                <w:color w:val="000000"/>
                <w:sz w:val="22"/>
                <w:szCs w:val="22"/>
              </w:rPr>
            </w:pPr>
            <w:r w:rsidRPr="00665A7E">
              <w:rPr>
                <w:rFonts w:ascii="Calibri" w:hAnsi="Calibri" w:cs="Calibri"/>
                <w:color w:val="000000"/>
                <w:sz w:val="22"/>
                <w:szCs w:val="22"/>
              </w:rPr>
              <w:t>§ 3º Caso a proposta para solucionar a insuficiência envolva alienação de imóveis, a supervisionada deverá apresentar relação detalhada dos bens que pretende vender, contendo, no mínimo, seus valores contábeis, a expectativa de valor de alienação, os ônus porventura existentes sobre os imóveis e os lucros/prejuízos esperados no resultado, os quais deverão ser considerados também nas projeções de que trata o art. 4º deste Anexo.</w:t>
            </w:r>
          </w:p>
          <w:p w14:paraId="69A761FE" w14:textId="57A3B56A" w:rsidR="00665A7E" w:rsidRDefault="00665A7E" w:rsidP="00665A7E">
            <w:pPr>
              <w:jc w:val="both"/>
              <w:rPr>
                <w:rFonts w:ascii="Calibri" w:hAnsi="Calibri" w:cs="Calibri"/>
                <w:color w:val="000000"/>
                <w:sz w:val="22"/>
                <w:szCs w:val="22"/>
              </w:rPr>
            </w:pPr>
          </w:p>
        </w:tc>
        <w:tc>
          <w:tcPr>
            <w:tcW w:w="5245" w:type="dxa"/>
          </w:tcPr>
          <w:p w14:paraId="55672F6E" w14:textId="77777777" w:rsidR="00B0788F" w:rsidRPr="0056460E" w:rsidRDefault="00B0788F" w:rsidP="007632B3">
            <w:pPr>
              <w:jc w:val="center"/>
              <w:rPr>
                <w:rFonts w:asciiTheme="minorHAnsi" w:hAnsiTheme="minorHAnsi"/>
                <w:b/>
                <w:bCs/>
                <w:sz w:val="22"/>
                <w:szCs w:val="22"/>
              </w:rPr>
            </w:pPr>
          </w:p>
        </w:tc>
        <w:tc>
          <w:tcPr>
            <w:tcW w:w="5532" w:type="dxa"/>
          </w:tcPr>
          <w:p w14:paraId="729366D9" w14:textId="77777777" w:rsidR="00B0788F" w:rsidRPr="0056460E" w:rsidRDefault="00B0788F" w:rsidP="007632B3">
            <w:pPr>
              <w:jc w:val="center"/>
              <w:rPr>
                <w:rFonts w:asciiTheme="minorHAnsi" w:hAnsiTheme="minorHAnsi"/>
                <w:b/>
                <w:bCs/>
                <w:sz w:val="22"/>
                <w:szCs w:val="22"/>
              </w:rPr>
            </w:pPr>
          </w:p>
        </w:tc>
      </w:tr>
      <w:tr w:rsidR="00B0788F" w:rsidRPr="0056460E" w14:paraId="4B78574B" w14:textId="77777777" w:rsidTr="007632B3">
        <w:trPr>
          <w:trHeight w:val="862"/>
        </w:trPr>
        <w:tc>
          <w:tcPr>
            <w:tcW w:w="5104" w:type="dxa"/>
          </w:tcPr>
          <w:p w14:paraId="0CEF1B14" w14:textId="77777777" w:rsidR="00665A7E" w:rsidRPr="00665A7E" w:rsidRDefault="00665A7E" w:rsidP="00665A7E">
            <w:pPr>
              <w:jc w:val="both"/>
              <w:rPr>
                <w:rFonts w:ascii="Calibri" w:hAnsi="Calibri" w:cs="Calibri"/>
                <w:color w:val="000000"/>
                <w:sz w:val="22"/>
                <w:szCs w:val="22"/>
              </w:rPr>
            </w:pPr>
            <w:r w:rsidRPr="00665A7E">
              <w:rPr>
                <w:rFonts w:ascii="Calibri" w:hAnsi="Calibri" w:cs="Calibri"/>
                <w:color w:val="000000"/>
                <w:sz w:val="22"/>
                <w:szCs w:val="22"/>
              </w:rPr>
              <w:lastRenderedPageBreak/>
              <w:t>Art. 4</w:t>
            </w:r>
            <w:proofErr w:type="gramStart"/>
            <w:r w:rsidRPr="00665A7E">
              <w:rPr>
                <w:rFonts w:ascii="Calibri" w:hAnsi="Calibri" w:cs="Calibri"/>
                <w:color w:val="000000"/>
                <w:sz w:val="22"/>
                <w:szCs w:val="22"/>
              </w:rPr>
              <w:t>º  A</w:t>
            </w:r>
            <w:proofErr w:type="gramEnd"/>
            <w:r w:rsidRPr="00665A7E">
              <w:rPr>
                <w:rFonts w:ascii="Calibri" w:hAnsi="Calibri" w:cs="Calibri"/>
                <w:color w:val="000000"/>
                <w:sz w:val="22"/>
                <w:szCs w:val="22"/>
              </w:rPr>
              <w:t xml:space="preserve"> supervisionada deverá apresentar no PRC as seguintes projeções atuariais e financeiras:</w:t>
            </w:r>
          </w:p>
          <w:p w14:paraId="4BEE8E54" w14:textId="77777777" w:rsidR="00665A7E" w:rsidRPr="00665A7E" w:rsidRDefault="00665A7E" w:rsidP="00665A7E">
            <w:pPr>
              <w:jc w:val="both"/>
              <w:rPr>
                <w:rFonts w:ascii="Calibri" w:hAnsi="Calibri" w:cs="Calibri"/>
                <w:color w:val="000000"/>
                <w:sz w:val="22"/>
                <w:szCs w:val="22"/>
              </w:rPr>
            </w:pPr>
          </w:p>
          <w:p w14:paraId="19D711F9" w14:textId="77777777" w:rsidR="00665A7E" w:rsidRPr="00665A7E" w:rsidRDefault="00665A7E" w:rsidP="00665A7E">
            <w:pPr>
              <w:jc w:val="both"/>
              <w:rPr>
                <w:rFonts w:ascii="Calibri" w:hAnsi="Calibri" w:cs="Calibri"/>
                <w:color w:val="000000"/>
                <w:sz w:val="22"/>
                <w:szCs w:val="22"/>
              </w:rPr>
            </w:pPr>
            <w:r w:rsidRPr="00665A7E">
              <w:rPr>
                <w:rFonts w:ascii="Calibri" w:hAnsi="Calibri" w:cs="Calibri"/>
                <w:color w:val="000000"/>
                <w:sz w:val="22"/>
                <w:szCs w:val="22"/>
              </w:rPr>
              <w:t xml:space="preserve">I - </w:t>
            </w:r>
            <w:proofErr w:type="gramStart"/>
            <w:r w:rsidRPr="00665A7E">
              <w:rPr>
                <w:rFonts w:ascii="Calibri" w:hAnsi="Calibri" w:cs="Calibri"/>
                <w:color w:val="000000"/>
                <w:sz w:val="22"/>
                <w:szCs w:val="22"/>
              </w:rPr>
              <w:t>balanço</w:t>
            </w:r>
            <w:proofErr w:type="gramEnd"/>
            <w:r w:rsidRPr="00665A7E">
              <w:rPr>
                <w:rFonts w:ascii="Calibri" w:hAnsi="Calibri" w:cs="Calibri"/>
                <w:color w:val="000000"/>
                <w:sz w:val="22"/>
                <w:szCs w:val="22"/>
              </w:rPr>
              <w:t xml:space="preserve"> patrimonial e demonstração do resultado do exercício nos moldes das informações já prestadas à Susep;</w:t>
            </w:r>
          </w:p>
          <w:p w14:paraId="6AD92EAF" w14:textId="77777777" w:rsidR="00665A7E" w:rsidRPr="00665A7E" w:rsidRDefault="00665A7E" w:rsidP="00665A7E">
            <w:pPr>
              <w:jc w:val="both"/>
              <w:rPr>
                <w:rFonts w:ascii="Calibri" w:hAnsi="Calibri" w:cs="Calibri"/>
                <w:color w:val="000000"/>
                <w:sz w:val="22"/>
                <w:szCs w:val="22"/>
              </w:rPr>
            </w:pPr>
          </w:p>
          <w:p w14:paraId="28E0D661" w14:textId="77777777" w:rsidR="00665A7E" w:rsidRPr="00665A7E" w:rsidRDefault="00665A7E" w:rsidP="00665A7E">
            <w:pPr>
              <w:jc w:val="both"/>
              <w:rPr>
                <w:rFonts w:ascii="Calibri" w:hAnsi="Calibri" w:cs="Calibri"/>
                <w:color w:val="000000"/>
                <w:sz w:val="22"/>
                <w:szCs w:val="22"/>
              </w:rPr>
            </w:pPr>
            <w:r w:rsidRPr="00665A7E">
              <w:rPr>
                <w:rFonts w:ascii="Calibri" w:hAnsi="Calibri" w:cs="Calibri"/>
                <w:color w:val="000000"/>
                <w:sz w:val="22"/>
                <w:szCs w:val="22"/>
              </w:rPr>
              <w:t xml:space="preserve">II - </w:t>
            </w:r>
            <w:proofErr w:type="gramStart"/>
            <w:r w:rsidRPr="00665A7E">
              <w:rPr>
                <w:rFonts w:ascii="Calibri" w:hAnsi="Calibri" w:cs="Calibri"/>
                <w:color w:val="000000"/>
                <w:sz w:val="22"/>
                <w:szCs w:val="22"/>
              </w:rPr>
              <w:t>valores</w:t>
            </w:r>
            <w:proofErr w:type="gramEnd"/>
            <w:r w:rsidRPr="00665A7E">
              <w:rPr>
                <w:rFonts w:ascii="Calibri" w:hAnsi="Calibri" w:cs="Calibri"/>
                <w:color w:val="000000"/>
                <w:sz w:val="22"/>
                <w:szCs w:val="22"/>
              </w:rPr>
              <w:t xml:space="preserve"> esperados dos ativos, dos ativos garantidores e dos ativos redutores da necessidade de cobertura;</w:t>
            </w:r>
          </w:p>
          <w:p w14:paraId="548D02CE" w14:textId="77777777" w:rsidR="00665A7E" w:rsidRPr="00665A7E" w:rsidRDefault="00665A7E" w:rsidP="00665A7E">
            <w:pPr>
              <w:jc w:val="both"/>
              <w:rPr>
                <w:rFonts w:ascii="Calibri" w:hAnsi="Calibri" w:cs="Calibri"/>
                <w:color w:val="000000"/>
                <w:sz w:val="22"/>
                <w:szCs w:val="22"/>
              </w:rPr>
            </w:pPr>
          </w:p>
          <w:p w14:paraId="40B1822F" w14:textId="77777777" w:rsidR="00665A7E" w:rsidRPr="00665A7E" w:rsidRDefault="00665A7E" w:rsidP="00665A7E">
            <w:pPr>
              <w:jc w:val="both"/>
              <w:rPr>
                <w:rFonts w:ascii="Calibri" w:hAnsi="Calibri" w:cs="Calibri"/>
                <w:color w:val="000000"/>
                <w:sz w:val="22"/>
                <w:szCs w:val="22"/>
              </w:rPr>
            </w:pPr>
            <w:r w:rsidRPr="00665A7E">
              <w:rPr>
                <w:rFonts w:ascii="Calibri" w:hAnsi="Calibri" w:cs="Calibri"/>
                <w:color w:val="000000"/>
                <w:sz w:val="22"/>
                <w:szCs w:val="22"/>
              </w:rPr>
              <w:t>III - valores esperados de cada provisão técnica; e</w:t>
            </w:r>
          </w:p>
          <w:p w14:paraId="74DC2DBF" w14:textId="77777777" w:rsidR="00665A7E" w:rsidRPr="00665A7E" w:rsidRDefault="00665A7E" w:rsidP="00665A7E">
            <w:pPr>
              <w:jc w:val="both"/>
              <w:rPr>
                <w:rFonts w:ascii="Calibri" w:hAnsi="Calibri" w:cs="Calibri"/>
                <w:color w:val="000000"/>
                <w:sz w:val="22"/>
                <w:szCs w:val="22"/>
              </w:rPr>
            </w:pPr>
          </w:p>
          <w:p w14:paraId="3DD3EF13" w14:textId="77777777" w:rsidR="00665A7E" w:rsidRPr="00665A7E" w:rsidRDefault="00665A7E" w:rsidP="00665A7E">
            <w:pPr>
              <w:jc w:val="both"/>
              <w:rPr>
                <w:rFonts w:ascii="Calibri" w:hAnsi="Calibri" w:cs="Calibri"/>
                <w:color w:val="000000"/>
                <w:sz w:val="22"/>
                <w:szCs w:val="22"/>
              </w:rPr>
            </w:pPr>
            <w:r w:rsidRPr="00665A7E">
              <w:rPr>
                <w:rFonts w:ascii="Calibri" w:hAnsi="Calibri" w:cs="Calibri"/>
                <w:color w:val="000000"/>
                <w:sz w:val="22"/>
                <w:szCs w:val="22"/>
              </w:rPr>
              <w:t xml:space="preserve">IV - </w:t>
            </w:r>
            <w:proofErr w:type="gramStart"/>
            <w:r w:rsidRPr="00665A7E">
              <w:rPr>
                <w:rFonts w:ascii="Calibri" w:hAnsi="Calibri" w:cs="Calibri"/>
                <w:color w:val="000000"/>
                <w:sz w:val="22"/>
                <w:szCs w:val="22"/>
              </w:rPr>
              <w:t>valor</w:t>
            </w:r>
            <w:proofErr w:type="gramEnd"/>
            <w:r w:rsidRPr="00665A7E">
              <w:rPr>
                <w:rFonts w:ascii="Calibri" w:hAnsi="Calibri" w:cs="Calibri"/>
                <w:color w:val="000000"/>
                <w:sz w:val="22"/>
                <w:szCs w:val="22"/>
              </w:rPr>
              <w:t xml:space="preserve"> esperado da insuficiência de cobertura de provisões técnicas.</w:t>
            </w:r>
          </w:p>
          <w:p w14:paraId="06877AF5" w14:textId="77777777" w:rsidR="00665A7E" w:rsidRPr="00665A7E" w:rsidRDefault="00665A7E" w:rsidP="00665A7E">
            <w:pPr>
              <w:jc w:val="both"/>
              <w:rPr>
                <w:rFonts w:ascii="Calibri" w:hAnsi="Calibri" w:cs="Calibri"/>
                <w:color w:val="000000"/>
                <w:sz w:val="22"/>
                <w:szCs w:val="22"/>
              </w:rPr>
            </w:pPr>
          </w:p>
          <w:p w14:paraId="1684AE52" w14:textId="77777777" w:rsidR="00665A7E" w:rsidRPr="00665A7E" w:rsidRDefault="00665A7E" w:rsidP="00665A7E">
            <w:pPr>
              <w:jc w:val="both"/>
              <w:rPr>
                <w:rFonts w:ascii="Calibri" w:hAnsi="Calibri" w:cs="Calibri"/>
                <w:color w:val="000000"/>
                <w:sz w:val="22"/>
                <w:szCs w:val="22"/>
              </w:rPr>
            </w:pPr>
            <w:r w:rsidRPr="00665A7E">
              <w:rPr>
                <w:rFonts w:ascii="Calibri" w:hAnsi="Calibri" w:cs="Calibri"/>
                <w:color w:val="000000"/>
                <w:sz w:val="22"/>
                <w:szCs w:val="22"/>
              </w:rPr>
              <w:t>§ 1º As projeções de valores referentes aos incisos I a IV deverão ser mensais, ao longo do prazo para a solução da insuficiência.</w:t>
            </w:r>
          </w:p>
          <w:p w14:paraId="7B2044CB" w14:textId="77777777" w:rsidR="00665A7E" w:rsidRPr="00665A7E" w:rsidRDefault="00665A7E" w:rsidP="00665A7E">
            <w:pPr>
              <w:jc w:val="both"/>
              <w:rPr>
                <w:rFonts w:ascii="Calibri" w:hAnsi="Calibri" w:cs="Calibri"/>
                <w:color w:val="000000"/>
                <w:sz w:val="22"/>
                <w:szCs w:val="22"/>
              </w:rPr>
            </w:pPr>
          </w:p>
          <w:p w14:paraId="1FFC2B1D" w14:textId="77777777" w:rsidR="00665A7E" w:rsidRPr="00665A7E" w:rsidRDefault="00665A7E" w:rsidP="00665A7E">
            <w:pPr>
              <w:jc w:val="both"/>
              <w:rPr>
                <w:rFonts w:ascii="Calibri" w:hAnsi="Calibri" w:cs="Calibri"/>
                <w:color w:val="000000"/>
                <w:sz w:val="22"/>
                <w:szCs w:val="22"/>
              </w:rPr>
            </w:pPr>
            <w:r w:rsidRPr="00665A7E">
              <w:rPr>
                <w:rFonts w:ascii="Calibri" w:hAnsi="Calibri" w:cs="Calibri"/>
                <w:color w:val="000000"/>
                <w:sz w:val="22"/>
                <w:szCs w:val="22"/>
              </w:rPr>
              <w:t>§ 2º A supervisionada deverá descrever e justificar os critérios técnicos e os cenários econômicos utilizados nas projeções.</w:t>
            </w:r>
          </w:p>
          <w:p w14:paraId="280ECBAE" w14:textId="77777777" w:rsidR="00665A7E" w:rsidRPr="00665A7E" w:rsidRDefault="00665A7E" w:rsidP="00665A7E">
            <w:pPr>
              <w:jc w:val="both"/>
              <w:rPr>
                <w:rFonts w:ascii="Calibri" w:hAnsi="Calibri" w:cs="Calibri"/>
                <w:color w:val="000000"/>
                <w:sz w:val="22"/>
                <w:szCs w:val="22"/>
              </w:rPr>
            </w:pPr>
          </w:p>
          <w:p w14:paraId="13C36190" w14:textId="77777777" w:rsidR="00B0788F" w:rsidRDefault="00665A7E" w:rsidP="00665A7E">
            <w:pPr>
              <w:jc w:val="both"/>
              <w:rPr>
                <w:rFonts w:ascii="Calibri" w:hAnsi="Calibri" w:cs="Calibri"/>
                <w:color w:val="000000"/>
                <w:sz w:val="22"/>
                <w:szCs w:val="22"/>
              </w:rPr>
            </w:pPr>
            <w:r w:rsidRPr="00665A7E">
              <w:rPr>
                <w:rFonts w:ascii="Calibri" w:hAnsi="Calibri" w:cs="Calibri"/>
                <w:color w:val="000000"/>
                <w:sz w:val="22"/>
                <w:szCs w:val="22"/>
              </w:rPr>
              <w:t>§ 3º A supervisionada deverá realizar análise de sensibilidade dos fatores que mais impactam as projeções.</w:t>
            </w:r>
          </w:p>
          <w:p w14:paraId="62445041" w14:textId="5AA8AB60" w:rsidR="00665A7E" w:rsidRDefault="00665A7E" w:rsidP="00665A7E">
            <w:pPr>
              <w:jc w:val="both"/>
              <w:rPr>
                <w:rFonts w:ascii="Calibri" w:hAnsi="Calibri" w:cs="Calibri"/>
                <w:color w:val="000000"/>
                <w:sz w:val="22"/>
                <w:szCs w:val="22"/>
              </w:rPr>
            </w:pPr>
          </w:p>
        </w:tc>
        <w:tc>
          <w:tcPr>
            <w:tcW w:w="5245" w:type="dxa"/>
          </w:tcPr>
          <w:p w14:paraId="71C7AF8B" w14:textId="77777777" w:rsidR="00B0788F" w:rsidRPr="0056460E" w:rsidRDefault="00B0788F" w:rsidP="007632B3">
            <w:pPr>
              <w:jc w:val="center"/>
              <w:rPr>
                <w:rFonts w:asciiTheme="minorHAnsi" w:hAnsiTheme="minorHAnsi"/>
                <w:b/>
                <w:bCs/>
                <w:sz w:val="22"/>
                <w:szCs w:val="22"/>
              </w:rPr>
            </w:pPr>
          </w:p>
        </w:tc>
        <w:tc>
          <w:tcPr>
            <w:tcW w:w="5532" w:type="dxa"/>
          </w:tcPr>
          <w:p w14:paraId="14A650D9" w14:textId="77777777" w:rsidR="00B0788F" w:rsidRPr="0056460E" w:rsidRDefault="00B0788F" w:rsidP="007632B3">
            <w:pPr>
              <w:jc w:val="center"/>
              <w:rPr>
                <w:rFonts w:asciiTheme="minorHAnsi" w:hAnsiTheme="minorHAnsi"/>
                <w:b/>
                <w:bCs/>
                <w:sz w:val="22"/>
                <w:szCs w:val="22"/>
              </w:rPr>
            </w:pPr>
          </w:p>
        </w:tc>
      </w:tr>
      <w:tr w:rsidR="00B0788F" w:rsidRPr="0056460E" w14:paraId="512CA024" w14:textId="77777777" w:rsidTr="007632B3">
        <w:trPr>
          <w:trHeight w:val="862"/>
        </w:trPr>
        <w:tc>
          <w:tcPr>
            <w:tcW w:w="5104" w:type="dxa"/>
          </w:tcPr>
          <w:p w14:paraId="226C0C94" w14:textId="5E320459" w:rsidR="00B0788F" w:rsidRDefault="00C842E7" w:rsidP="00005C6E">
            <w:pPr>
              <w:jc w:val="both"/>
              <w:rPr>
                <w:rFonts w:ascii="Calibri" w:hAnsi="Calibri" w:cs="Calibri"/>
                <w:color w:val="000000"/>
                <w:sz w:val="22"/>
                <w:szCs w:val="22"/>
              </w:rPr>
            </w:pPr>
            <w:r>
              <w:rPr>
                <w:rFonts w:ascii="Calibri" w:hAnsi="Calibri" w:cs="Calibri"/>
                <w:color w:val="000000"/>
                <w:sz w:val="22"/>
                <w:szCs w:val="22"/>
              </w:rPr>
              <w:t xml:space="preserve">Art. 5º </w:t>
            </w:r>
            <w:r w:rsidR="00665A7E" w:rsidRPr="00665A7E">
              <w:rPr>
                <w:rFonts w:ascii="Calibri" w:hAnsi="Calibri" w:cs="Calibri"/>
                <w:color w:val="000000"/>
                <w:sz w:val="22"/>
                <w:szCs w:val="22"/>
              </w:rPr>
              <w:t xml:space="preserve">Para acompanhamento dos procedimentos e das ações corretivas a serem adotadas para a solução da insuficiência, a supervisionada deverá indicar </w:t>
            </w:r>
            <w:r>
              <w:rPr>
                <w:rFonts w:ascii="Calibri" w:hAnsi="Calibri" w:cs="Calibri"/>
                <w:color w:val="000000"/>
                <w:sz w:val="22"/>
                <w:szCs w:val="22"/>
              </w:rPr>
              <w:t xml:space="preserve">no PRC as variáveis de controle </w:t>
            </w:r>
            <w:r w:rsidR="00665A7E" w:rsidRPr="00665A7E">
              <w:rPr>
                <w:rFonts w:ascii="Calibri" w:hAnsi="Calibri" w:cs="Calibri"/>
                <w:color w:val="000000"/>
                <w:sz w:val="22"/>
                <w:szCs w:val="22"/>
              </w:rPr>
              <w:t xml:space="preserve">utilizadas, com as respectivas margens de segurança e as medidas corretivas em caso de identificação de desvio de </w:t>
            </w:r>
            <w:r>
              <w:rPr>
                <w:rFonts w:ascii="Calibri" w:hAnsi="Calibri" w:cs="Calibri"/>
                <w:color w:val="000000"/>
                <w:sz w:val="22"/>
                <w:szCs w:val="22"/>
              </w:rPr>
              <w:t>planejamento.”</w:t>
            </w:r>
            <w:r w:rsidR="00665A7E" w:rsidRPr="00665A7E">
              <w:rPr>
                <w:rFonts w:ascii="Calibri" w:hAnsi="Calibri" w:cs="Calibri"/>
                <w:color w:val="000000"/>
                <w:sz w:val="22"/>
                <w:szCs w:val="22"/>
              </w:rPr>
              <w:t xml:space="preserve"> (NR)</w:t>
            </w:r>
          </w:p>
          <w:p w14:paraId="45ACE558" w14:textId="27527C01" w:rsidR="00665A7E" w:rsidRDefault="00665A7E" w:rsidP="00005C6E">
            <w:pPr>
              <w:jc w:val="both"/>
              <w:rPr>
                <w:rFonts w:ascii="Calibri" w:hAnsi="Calibri" w:cs="Calibri"/>
                <w:color w:val="000000"/>
                <w:sz w:val="22"/>
                <w:szCs w:val="22"/>
              </w:rPr>
            </w:pPr>
          </w:p>
        </w:tc>
        <w:tc>
          <w:tcPr>
            <w:tcW w:w="5245" w:type="dxa"/>
          </w:tcPr>
          <w:p w14:paraId="14E74753" w14:textId="77777777" w:rsidR="00B0788F" w:rsidRPr="0056460E" w:rsidRDefault="00B0788F" w:rsidP="007632B3">
            <w:pPr>
              <w:jc w:val="center"/>
              <w:rPr>
                <w:rFonts w:asciiTheme="minorHAnsi" w:hAnsiTheme="minorHAnsi"/>
                <w:b/>
                <w:bCs/>
                <w:sz w:val="22"/>
                <w:szCs w:val="22"/>
              </w:rPr>
            </w:pPr>
          </w:p>
        </w:tc>
        <w:tc>
          <w:tcPr>
            <w:tcW w:w="5532" w:type="dxa"/>
          </w:tcPr>
          <w:p w14:paraId="07A7F347" w14:textId="77777777" w:rsidR="00B0788F" w:rsidRPr="0056460E" w:rsidRDefault="00B0788F" w:rsidP="007632B3">
            <w:pPr>
              <w:jc w:val="center"/>
              <w:rPr>
                <w:rFonts w:asciiTheme="minorHAnsi" w:hAnsiTheme="minorHAnsi"/>
                <w:b/>
                <w:bCs/>
                <w:sz w:val="22"/>
                <w:szCs w:val="22"/>
              </w:rPr>
            </w:pPr>
          </w:p>
        </w:tc>
      </w:tr>
      <w:tr w:rsidR="00B0788F" w:rsidRPr="0056460E" w14:paraId="4B6410A2" w14:textId="77777777" w:rsidTr="007632B3">
        <w:trPr>
          <w:trHeight w:val="862"/>
        </w:trPr>
        <w:tc>
          <w:tcPr>
            <w:tcW w:w="5104" w:type="dxa"/>
          </w:tcPr>
          <w:p w14:paraId="239369FB" w14:textId="3FDDBCBF" w:rsidR="00665A7E" w:rsidRDefault="00665A7E" w:rsidP="00005C6E">
            <w:pPr>
              <w:jc w:val="both"/>
              <w:rPr>
                <w:rFonts w:ascii="Calibri" w:hAnsi="Calibri" w:cs="Calibri"/>
                <w:color w:val="000000"/>
                <w:sz w:val="22"/>
                <w:szCs w:val="22"/>
              </w:rPr>
            </w:pPr>
            <w:r>
              <w:rPr>
                <w:rFonts w:ascii="Calibri" w:hAnsi="Calibri" w:cs="Calibri"/>
                <w:color w:val="000000"/>
                <w:sz w:val="22"/>
                <w:szCs w:val="22"/>
              </w:rPr>
              <w:t xml:space="preserve">Art. 4º As alterações nos </w:t>
            </w:r>
            <w:proofErr w:type="spellStart"/>
            <w:r>
              <w:rPr>
                <w:rFonts w:ascii="Calibri" w:hAnsi="Calibri" w:cs="Calibri"/>
                <w:color w:val="000000"/>
                <w:sz w:val="22"/>
                <w:szCs w:val="22"/>
              </w:rPr>
              <w:t>arts</w:t>
            </w:r>
            <w:proofErr w:type="spellEnd"/>
            <w:r>
              <w:rPr>
                <w:rFonts w:ascii="Calibri" w:hAnsi="Calibri" w:cs="Calibri"/>
                <w:color w:val="000000"/>
                <w:sz w:val="22"/>
                <w:szCs w:val="22"/>
              </w:rPr>
              <w:t>. 108-B, 108-D, 108-J e 108-L da Circular Susep nº 517, de 30 de julho de 2015, referentes à Estrutura de Gestão de Risco e dispostas no art. 1º desta Circular, deverão ser implementadas até 1º de março de 2021.</w:t>
            </w:r>
          </w:p>
        </w:tc>
        <w:tc>
          <w:tcPr>
            <w:tcW w:w="5245" w:type="dxa"/>
          </w:tcPr>
          <w:p w14:paraId="69557D26" w14:textId="77777777" w:rsidR="00B0788F" w:rsidRPr="0056460E" w:rsidRDefault="00B0788F" w:rsidP="007632B3">
            <w:pPr>
              <w:jc w:val="center"/>
              <w:rPr>
                <w:rFonts w:asciiTheme="minorHAnsi" w:hAnsiTheme="minorHAnsi"/>
                <w:b/>
                <w:bCs/>
                <w:sz w:val="22"/>
                <w:szCs w:val="22"/>
              </w:rPr>
            </w:pPr>
          </w:p>
        </w:tc>
        <w:tc>
          <w:tcPr>
            <w:tcW w:w="5532" w:type="dxa"/>
          </w:tcPr>
          <w:p w14:paraId="0FAF1923" w14:textId="77777777" w:rsidR="00B0788F" w:rsidRPr="0056460E" w:rsidRDefault="00B0788F" w:rsidP="007632B3">
            <w:pPr>
              <w:jc w:val="center"/>
              <w:rPr>
                <w:rFonts w:asciiTheme="minorHAnsi" w:hAnsiTheme="minorHAnsi"/>
                <w:b/>
                <w:bCs/>
                <w:sz w:val="22"/>
                <w:szCs w:val="22"/>
              </w:rPr>
            </w:pPr>
          </w:p>
        </w:tc>
      </w:tr>
      <w:tr w:rsidR="00B0788F" w:rsidRPr="0056460E" w14:paraId="77C8D847" w14:textId="77777777" w:rsidTr="007632B3">
        <w:trPr>
          <w:trHeight w:val="862"/>
        </w:trPr>
        <w:tc>
          <w:tcPr>
            <w:tcW w:w="5104" w:type="dxa"/>
          </w:tcPr>
          <w:p w14:paraId="5EBD9122" w14:textId="77777777" w:rsidR="00B0788F" w:rsidRDefault="00665A7E" w:rsidP="00005C6E">
            <w:pPr>
              <w:jc w:val="both"/>
              <w:rPr>
                <w:rFonts w:ascii="Calibri" w:hAnsi="Calibri" w:cs="Calibri"/>
                <w:color w:val="000000"/>
                <w:sz w:val="22"/>
                <w:szCs w:val="22"/>
              </w:rPr>
            </w:pPr>
            <w:r>
              <w:rPr>
                <w:rFonts w:ascii="Calibri" w:hAnsi="Calibri" w:cs="Calibri"/>
                <w:color w:val="000000"/>
                <w:sz w:val="22"/>
                <w:szCs w:val="22"/>
              </w:rPr>
              <w:lastRenderedPageBreak/>
              <w:t>Art. 5º Ficam revogados os incisos III, IV e VI do </w:t>
            </w:r>
            <w:r w:rsidRPr="0035706D">
              <w:rPr>
                <w:rStyle w:val="Forte"/>
                <w:rFonts w:ascii="Calibri" w:hAnsi="Calibri" w:cs="Calibri"/>
                <w:color w:val="000000"/>
                <w:sz w:val="22"/>
                <w:szCs w:val="22"/>
              </w:rPr>
              <w:t>caput</w:t>
            </w:r>
            <w:r>
              <w:rPr>
                <w:rFonts w:ascii="Calibri" w:hAnsi="Calibri" w:cs="Calibri"/>
                <w:color w:val="000000"/>
                <w:sz w:val="22"/>
                <w:szCs w:val="22"/>
              </w:rPr>
              <w:t> do art. 92 e o Anexo IX da Circular Susep nº 517, de 30 de julho de 2015.</w:t>
            </w:r>
          </w:p>
          <w:p w14:paraId="1E91C642" w14:textId="594FA018" w:rsidR="00665A7E" w:rsidRDefault="00665A7E" w:rsidP="00005C6E">
            <w:pPr>
              <w:jc w:val="both"/>
              <w:rPr>
                <w:rFonts w:ascii="Calibri" w:hAnsi="Calibri" w:cs="Calibri"/>
                <w:color w:val="000000"/>
                <w:sz w:val="22"/>
                <w:szCs w:val="22"/>
              </w:rPr>
            </w:pPr>
          </w:p>
        </w:tc>
        <w:tc>
          <w:tcPr>
            <w:tcW w:w="5245" w:type="dxa"/>
          </w:tcPr>
          <w:p w14:paraId="596FA153" w14:textId="77777777" w:rsidR="00B0788F" w:rsidRPr="0056460E" w:rsidRDefault="00B0788F" w:rsidP="007632B3">
            <w:pPr>
              <w:jc w:val="center"/>
              <w:rPr>
                <w:rFonts w:asciiTheme="minorHAnsi" w:hAnsiTheme="minorHAnsi"/>
                <w:b/>
                <w:bCs/>
                <w:sz w:val="22"/>
                <w:szCs w:val="22"/>
              </w:rPr>
            </w:pPr>
          </w:p>
        </w:tc>
        <w:tc>
          <w:tcPr>
            <w:tcW w:w="5532" w:type="dxa"/>
          </w:tcPr>
          <w:p w14:paraId="2A8CD4B4" w14:textId="77777777" w:rsidR="00B0788F" w:rsidRPr="0056460E" w:rsidRDefault="00B0788F" w:rsidP="007632B3">
            <w:pPr>
              <w:jc w:val="center"/>
              <w:rPr>
                <w:rFonts w:asciiTheme="minorHAnsi" w:hAnsiTheme="minorHAnsi"/>
                <w:b/>
                <w:bCs/>
                <w:sz w:val="22"/>
                <w:szCs w:val="22"/>
              </w:rPr>
            </w:pPr>
          </w:p>
        </w:tc>
      </w:tr>
      <w:tr w:rsidR="00B0788F" w:rsidRPr="0056460E" w14:paraId="24DBEC02" w14:textId="77777777" w:rsidTr="007632B3">
        <w:trPr>
          <w:trHeight w:val="862"/>
        </w:trPr>
        <w:tc>
          <w:tcPr>
            <w:tcW w:w="5104" w:type="dxa"/>
          </w:tcPr>
          <w:p w14:paraId="719660A8" w14:textId="6697C5DC" w:rsidR="00B0788F" w:rsidRDefault="00665A7E" w:rsidP="00005C6E">
            <w:pPr>
              <w:jc w:val="both"/>
              <w:rPr>
                <w:rFonts w:ascii="Calibri" w:hAnsi="Calibri" w:cs="Calibri"/>
                <w:color w:val="000000"/>
                <w:sz w:val="22"/>
                <w:szCs w:val="22"/>
              </w:rPr>
            </w:pPr>
            <w:r>
              <w:rPr>
                <w:rFonts w:ascii="Calibri" w:hAnsi="Calibri" w:cs="Calibri"/>
                <w:color w:val="000000"/>
                <w:sz w:val="22"/>
                <w:szCs w:val="22"/>
              </w:rPr>
              <w:t>Art. 6° Esta Circular entra em vigor em 4 de janeiro de 2021.</w:t>
            </w:r>
          </w:p>
        </w:tc>
        <w:tc>
          <w:tcPr>
            <w:tcW w:w="5245" w:type="dxa"/>
          </w:tcPr>
          <w:p w14:paraId="31070598" w14:textId="77777777" w:rsidR="00B0788F" w:rsidRPr="0056460E" w:rsidRDefault="00B0788F" w:rsidP="007632B3">
            <w:pPr>
              <w:jc w:val="center"/>
              <w:rPr>
                <w:rFonts w:asciiTheme="minorHAnsi" w:hAnsiTheme="minorHAnsi"/>
                <w:b/>
                <w:bCs/>
                <w:sz w:val="22"/>
                <w:szCs w:val="22"/>
              </w:rPr>
            </w:pPr>
          </w:p>
        </w:tc>
        <w:tc>
          <w:tcPr>
            <w:tcW w:w="5532" w:type="dxa"/>
          </w:tcPr>
          <w:p w14:paraId="756E55BB" w14:textId="77777777" w:rsidR="00B0788F" w:rsidRPr="0056460E" w:rsidRDefault="00B0788F" w:rsidP="007632B3">
            <w:pPr>
              <w:jc w:val="center"/>
              <w:rPr>
                <w:rFonts w:asciiTheme="minorHAnsi" w:hAnsiTheme="minorHAnsi"/>
                <w:b/>
                <w:bCs/>
                <w:sz w:val="22"/>
                <w:szCs w:val="22"/>
              </w:rPr>
            </w:pPr>
          </w:p>
        </w:tc>
      </w:tr>
    </w:tbl>
    <w:p w14:paraId="422D815E" w14:textId="77777777" w:rsidR="00A7007A" w:rsidRPr="00481601" w:rsidRDefault="00A7007A" w:rsidP="00F77AE4">
      <w:pPr>
        <w:pStyle w:val="NormalWeb"/>
        <w:spacing w:before="0" w:beforeAutospacing="0" w:after="0" w:afterAutospacing="0"/>
        <w:jc w:val="both"/>
        <w:rPr>
          <w:color w:val="FF0000"/>
        </w:rPr>
      </w:pPr>
    </w:p>
    <w:sectPr w:rsidR="00A7007A" w:rsidRPr="00481601" w:rsidSect="00760BE5">
      <w:pgSz w:w="16838" w:h="11906" w:orient="landscape"/>
      <w:pgMar w:top="142"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1014E"/>
    <w:multiLevelType w:val="hybridMultilevel"/>
    <w:tmpl w:val="65365418"/>
    <w:lvl w:ilvl="0" w:tplc="505A0642">
      <w:start w:val="1"/>
      <w:numFmt w:val="decimal"/>
      <w:lvlText w:val="%1."/>
      <w:lvlJc w:val="left"/>
      <w:pPr>
        <w:ind w:left="1571" w:hanging="360"/>
      </w:pPr>
      <w:rPr>
        <w:rFonts w:hint="default"/>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 w15:restartNumberingAfterBreak="0">
    <w:nsid w:val="1D086A9C"/>
    <w:multiLevelType w:val="hybridMultilevel"/>
    <w:tmpl w:val="D0F6FE8C"/>
    <w:lvl w:ilvl="0" w:tplc="EB84AF7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2532245A"/>
    <w:multiLevelType w:val="hybridMultilevel"/>
    <w:tmpl w:val="D0F6FE8C"/>
    <w:lvl w:ilvl="0" w:tplc="EB84AF7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15:restartNumberingAfterBreak="0">
    <w:nsid w:val="2A263254"/>
    <w:multiLevelType w:val="hybridMultilevel"/>
    <w:tmpl w:val="E93C3332"/>
    <w:lvl w:ilvl="0" w:tplc="1E283DE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2DD73CF2"/>
    <w:multiLevelType w:val="hybridMultilevel"/>
    <w:tmpl w:val="8D58E50C"/>
    <w:lvl w:ilvl="0" w:tplc="C9846C7E">
      <w:start w:val="1"/>
      <w:numFmt w:val="lowerLetter"/>
      <w:lvlText w:val="%1)"/>
      <w:lvlJc w:val="left"/>
      <w:pPr>
        <w:ind w:left="2492" w:hanging="360"/>
      </w:pPr>
      <w:rPr>
        <w:rFonts w:hint="default"/>
      </w:rPr>
    </w:lvl>
    <w:lvl w:ilvl="1" w:tplc="04160019" w:tentative="1">
      <w:start w:val="1"/>
      <w:numFmt w:val="lowerLetter"/>
      <w:lvlText w:val="%2."/>
      <w:lvlJc w:val="left"/>
      <w:pPr>
        <w:ind w:left="3212" w:hanging="360"/>
      </w:pPr>
    </w:lvl>
    <w:lvl w:ilvl="2" w:tplc="0416001B" w:tentative="1">
      <w:start w:val="1"/>
      <w:numFmt w:val="lowerRoman"/>
      <w:lvlText w:val="%3."/>
      <w:lvlJc w:val="right"/>
      <w:pPr>
        <w:ind w:left="3932" w:hanging="180"/>
      </w:pPr>
    </w:lvl>
    <w:lvl w:ilvl="3" w:tplc="0416000F" w:tentative="1">
      <w:start w:val="1"/>
      <w:numFmt w:val="decimal"/>
      <w:lvlText w:val="%4."/>
      <w:lvlJc w:val="left"/>
      <w:pPr>
        <w:ind w:left="4652" w:hanging="360"/>
      </w:pPr>
    </w:lvl>
    <w:lvl w:ilvl="4" w:tplc="04160019" w:tentative="1">
      <w:start w:val="1"/>
      <w:numFmt w:val="lowerLetter"/>
      <w:lvlText w:val="%5."/>
      <w:lvlJc w:val="left"/>
      <w:pPr>
        <w:ind w:left="5372" w:hanging="360"/>
      </w:pPr>
    </w:lvl>
    <w:lvl w:ilvl="5" w:tplc="0416001B" w:tentative="1">
      <w:start w:val="1"/>
      <w:numFmt w:val="lowerRoman"/>
      <w:lvlText w:val="%6."/>
      <w:lvlJc w:val="right"/>
      <w:pPr>
        <w:ind w:left="6092" w:hanging="180"/>
      </w:pPr>
    </w:lvl>
    <w:lvl w:ilvl="6" w:tplc="0416000F" w:tentative="1">
      <w:start w:val="1"/>
      <w:numFmt w:val="decimal"/>
      <w:lvlText w:val="%7."/>
      <w:lvlJc w:val="left"/>
      <w:pPr>
        <w:ind w:left="6812" w:hanging="360"/>
      </w:pPr>
    </w:lvl>
    <w:lvl w:ilvl="7" w:tplc="04160019" w:tentative="1">
      <w:start w:val="1"/>
      <w:numFmt w:val="lowerLetter"/>
      <w:lvlText w:val="%8."/>
      <w:lvlJc w:val="left"/>
      <w:pPr>
        <w:ind w:left="7532" w:hanging="360"/>
      </w:pPr>
    </w:lvl>
    <w:lvl w:ilvl="8" w:tplc="0416001B" w:tentative="1">
      <w:start w:val="1"/>
      <w:numFmt w:val="lowerRoman"/>
      <w:lvlText w:val="%9."/>
      <w:lvlJc w:val="right"/>
      <w:pPr>
        <w:ind w:left="8252" w:hanging="180"/>
      </w:pPr>
    </w:lvl>
  </w:abstractNum>
  <w:abstractNum w:abstractNumId="5" w15:restartNumberingAfterBreak="0">
    <w:nsid w:val="41AE6FFF"/>
    <w:multiLevelType w:val="hybridMultilevel"/>
    <w:tmpl w:val="D0F6FE8C"/>
    <w:lvl w:ilvl="0" w:tplc="EB84AF7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 w15:restartNumberingAfterBreak="0">
    <w:nsid w:val="447B57EE"/>
    <w:multiLevelType w:val="hybridMultilevel"/>
    <w:tmpl w:val="DE284A28"/>
    <w:lvl w:ilvl="0" w:tplc="C0A055F4">
      <w:start w:val="1"/>
      <w:numFmt w:val="decimal"/>
      <w:lvlText w:val="%1."/>
      <w:lvlJc w:val="left"/>
      <w:pPr>
        <w:ind w:left="1571" w:hanging="360"/>
      </w:pPr>
      <w:rPr>
        <w:rFonts w:hint="default"/>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7" w15:restartNumberingAfterBreak="0">
    <w:nsid w:val="4B913B2E"/>
    <w:multiLevelType w:val="hybridMultilevel"/>
    <w:tmpl w:val="D0F6FE8C"/>
    <w:lvl w:ilvl="0" w:tplc="EB84AF7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8" w15:restartNumberingAfterBreak="0">
    <w:nsid w:val="70315F7F"/>
    <w:multiLevelType w:val="hybridMultilevel"/>
    <w:tmpl w:val="9D00A490"/>
    <w:lvl w:ilvl="0" w:tplc="EE70D9D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9" w15:restartNumberingAfterBreak="0">
    <w:nsid w:val="703459AA"/>
    <w:multiLevelType w:val="hybridMultilevel"/>
    <w:tmpl w:val="C2CEF1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8F5270F"/>
    <w:multiLevelType w:val="hybridMultilevel"/>
    <w:tmpl w:val="61149DC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8"/>
  </w:num>
  <w:num w:numId="3">
    <w:abstractNumId w:val="10"/>
  </w:num>
  <w:num w:numId="4">
    <w:abstractNumId w:val="4"/>
  </w:num>
  <w:num w:numId="5">
    <w:abstractNumId w:val="7"/>
  </w:num>
  <w:num w:numId="6">
    <w:abstractNumId w:val="5"/>
  </w:num>
  <w:num w:numId="7">
    <w:abstractNumId w:val="2"/>
  </w:num>
  <w:num w:numId="8">
    <w:abstractNumId w:val="0"/>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A16"/>
    <w:rsid w:val="00005C6E"/>
    <w:rsid w:val="00006D10"/>
    <w:rsid w:val="0002129F"/>
    <w:rsid w:val="000256CA"/>
    <w:rsid w:val="000300CD"/>
    <w:rsid w:val="00031069"/>
    <w:rsid w:val="00031583"/>
    <w:rsid w:val="00033104"/>
    <w:rsid w:val="00033B9C"/>
    <w:rsid w:val="00036976"/>
    <w:rsid w:val="0004026B"/>
    <w:rsid w:val="000464CA"/>
    <w:rsid w:val="0005290B"/>
    <w:rsid w:val="00060500"/>
    <w:rsid w:val="00061B7B"/>
    <w:rsid w:val="00071376"/>
    <w:rsid w:val="000732E7"/>
    <w:rsid w:val="00074888"/>
    <w:rsid w:val="00081963"/>
    <w:rsid w:val="00084DDA"/>
    <w:rsid w:val="00087B64"/>
    <w:rsid w:val="00090964"/>
    <w:rsid w:val="00096F16"/>
    <w:rsid w:val="000A5509"/>
    <w:rsid w:val="000B0D9E"/>
    <w:rsid w:val="000B3AEC"/>
    <w:rsid w:val="000B3F10"/>
    <w:rsid w:val="000B7643"/>
    <w:rsid w:val="000C268E"/>
    <w:rsid w:val="000D49B4"/>
    <w:rsid w:val="000D553D"/>
    <w:rsid w:val="000F2804"/>
    <w:rsid w:val="000F2A10"/>
    <w:rsid w:val="000F51F6"/>
    <w:rsid w:val="0011261B"/>
    <w:rsid w:val="00114AC8"/>
    <w:rsid w:val="001235C6"/>
    <w:rsid w:val="00130340"/>
    <w:rsid w:val="001309B1"/>
    <w:rsid w:val="00155A64"/>
    <w:rsid w:val="001735BA"/>
    <w:rsid w:val="00176C0C"/>
    <w:rsid w:val="00176EF2"/>
    <w:rsid w:val="001958BB"/>
    <w:rsid w:val="001A1078"/>
    <w:rsid w:val="001A359B"/>
    <w:rsid w:val="001A4D3D"/>
    <w:rsid w:val="001B2C9A"/>
    <w:rsid w:val="001C0325"/>
    <w:rsid w:val="001C1436"/>
    <w:rsid w:val="001C1562"/>
    <w:rsid w:val="001C2185"/>
    <w:rsid w:val="001D59F8"/>
    <w:rsid w:val="001E52F8"/>
    <w:rsid w:val="001F3F27"/>
    <w:rsid w:val="001F462B"/>
    <w:rsid w:val="0020088B"/>
    <w:rsid w:val="00200A4F"/>
    <w:rsid w:val="002033BB"/>
    <w:rsid w:val="0020511C"/>
    <w:rsid w:val="002151A8"/>
    <w:rsid w:val="0021630C"/>
    <w:rsid w:val="00221465"/>
    <w:rsid w:val="00221EBA"/>
    <w:rsid w:val="0023458C"/>
    <w:rsid w:val="00234892"/>
    <w:rsid w:val="00234C03"/>
    <w:rsid w:val="00236603"/>
    <w:rsid w:val="00237EF0"/>
    <w:rsid w:val="00241E80"/>
    <w:rsid w:val="0025607C"/>
    <w:rsid w:val="00257EB8"/>
    <w:rsid w:val="00264BBB"/>
    <w:rsid w:val="00270E63"/>
    <w:rsid w:val="0028103A"/>
    <w:rsid w:val="00286B99"/>
    <w:rsid w:val="0029011E"/>
    <w:rsid w:val="002951F7"/>
    <w:rsid w:val="00295C8F"/>
    <w:rsid w:val="002A1A83"/>
    <w:rsid w:val="002A1D3B"/>
    <w:rsid w:val="002A23FE"/>
    <w:rsid w:val="002C36C2"/>
    <w:rsid w:val="002C5E1B"/>
    <w:rsid w:val="002C7E4B"/>
    <w:rsid w:val="002D36DD"/>
    <w:rsid w:val="002D48E0"/>
    <w:rsid w:val="002D78FE"/>
    <w:rsid w:val="002E2904"/>
    <w:rsid w:val="002E60ED"/>
    <w:rsid w:val="002F0296"/>
    <w:rsid w:val="002F0A0F"/>
    <w:rsid w:val="002F574A"/>
    <w:rsid w:val="002F5974"/>
    <w:rsid w:val="00304575"/>
    <w:rsid w:val="003060BF"/>
    <w:rsid w:val="00306D4B"/>
    <w:rsid w:val="003278DB"/>
    <w:rsid w:val="00353A8F"/>
    <w:rsid w:val="0035706D"/>
    <w:rsid w:val="003578FD"/>
    <w:rsid w:val="00367739"/>
    <w:rsid w:val="003678A7"/>
    <w:rsid w:val="00371CF2"/>
    <w:rsid w:val="00372E83"/>
    <w:rsid w:val="00373A48"/>
    <w:rsid w:val="00377F9A"/>
    <w:rsid w:val="00381F81"/>
    <w:rsid w:val="0038272D"/>
    <w:rsid w:val="00396293"/>
    <w:rsid w:val="003A19DD"/>
    <w:rsid w:val="003B34C8"/>
    <w:rsid w:val="003B5988"/>
    <w:rsid w:val="003C3930"/>
    <w:rsid w:val="003C411A"/>
    <w:rsid w:val="003C5860"/>
    <w:rsid w:val="003C6FA8"/>
    <w:rsid w:val="003F0C6B"/>
    <w:rsid w:val="003F3552"/>
    <w:rsid w:val="003F7641"/>
    <w:rsid w:val="00421ED8"/>
    <w:rsid w:val="00434283"/>
    <w:rsid w:val="004343BF"/>
    <w:rsid w:val="00450183"/>
    <w:rsid w:val="0045653D"/>
    <w:rsid w:val="00457DCA"/>
    <w:rsid w:val="0046304B"/>
    <w:rsid w:val="00463E91"/>
    <w:rsid w:val="00475A3D"/>
    <w:rsid w:val="00481601"/>
    <w:rsid w:val="004849C6"/>
    <w:rsid w:val="0048652D"/>
    <w:rsid w:val="00491950"/>
    <w:rsid w:val="004964D8"/>
    <w:rsid w:val="004A083C"/>
    <w:rsid w:val="004B192E"/>
    <w:rsid w:val="004B421D"/>
    <w:rsid w:val="004C1170"/>
    <w:rsid w:val="004D4B96"/>
    <w:rsid w:val="004E6A69"/>
    <w:rsid w:val="004F381E"/>
    <w:rsid w:val="00502990"/>
    <w:rsid w:val="00520418"/>
    <w:rsid w:val="00523074"/>
    <w:rsid w:val="00523C99"/>
    <w:rsid w:val="005312EF"/>
    <w:rsid w:val="00531382"/>
    <w:rsid w:val="00534D5B"/>
    <w:rsid w:val="00537E04"/>
    <w:rsid w:val="00540B3D"/>
    <w:rsid w:val="005426C5"/>
    <w:rsid w:val="00543802"/>
    <w:rsid w:val="00544071"/>
    <w:rsid w:val="0055163E"/>
    <w:rsid w:val="00552A76"/>
    <w:rsid w:val="0055494E"/>
    <w:rsid w:val="0056460E"/>
    <w:rsid w:val="00567D75"/>
    <w:rsid w:val="00570C75"/>
    <w:rsid w:val="00573B11"/>
    <w:rsid w:val="005779A9"/>
    <w:rsid w:val="0058643D"/>
    <w:rsid w:val="00592D46"/>
    <w:rsid w:val="005968AD"/>
    <w:rsid w:val="005A1F0F"/>
    <w:rsid w:val="005A25E2"/>
    <w:rsid w:val="005A2D0B"/>
    <w:rsid w:val="005A49B3"/>
    <w:rsid w:val="005B127F"/>
    <w:rsid w:val="005B1938"/>
    <w:rsid w:val="005B1FC9"/>
    <w:rsid w:val="005C64A8"/>
    <w:rsid w:val="005D1AC4"/>
    <w:rsid w:val="005D2D98"/>
    <w:rsid w:val="005E19AE"/>
    <w:rsid w:val="005E5CDA"/>
    <w:rsid w:val="005F1C4D"/>
    <w:rsid w:val="005F515A"/>
    <w:rsid w:val="00610D85"/>
    <w:rsid w:val="006114A5"/>
    <w:rsid w:val="00614CA9"/>
    <w:rsid w:val="00624E1B"/>
    <w:rsid w:val="006269F0"/>
    <w:rsid w:val="00627BDD"/>
    <w:rsid w:val="006454B6"/>
    <w:rsid w:val="006457DB"/>
    <w:rsid w:val="00647AB0"/>
    <w:rsid w:val="00651094"/>
    <w:rsid w:val="00657A7B"/>
    <w:rsid w:val="006656F5"/>
    <w:rsid w:val="00665A7E"/>
    <w:rsid w:val="0066637A"/>
    <w:rsid w:val="006853CE"/>
    <w:rsid w:val="006967CD"/>
    <w:rsid w:val="006B0B15"/>
    <w:rsid w:val="006B0E42"/>
    <w:rsid w:val="006B4E52"/>
    <w:rsid w:val="006C5D2D"/>
    <w:rsid w:val="006C6C0F"/>
    <w:rsid w:val="006D4C16"/>
    <w:rsid w:val="006E2FE8"/>
    <w:rsid w:val="00702AD7"/>
    <w:rsid w:val="00705B45"/>
    <w:rsid w:val="00711066"/>
    <w:rsid w:val="00733242"/>
    <w:rsid w:val="0074419E"/>
    <w:rsid w:val="00746345"/>
    <w:rsid w:val="007512A3"/>
    <w:rsid w:val="007513E6"/>
    <w:rsid w:val="00751A59"/>
    <w:rsid w:val="00755AF1"/>
    <w:rsid w:val="00760AD1"/>
    <w:rsid w:val="00760BE5"/>
    <w:rsid w:val="007632B3"/>
    <w:rsid w:val="00767B97"/>
    <w:rsid w:val="00793F1E"/>
    <w:rsid w:val="007943DC"/>
    <w:rsid w:val="007A122B"/>
    <w:rsid w:val="007A450E"/>
    <w:rsid w:val="007A6AE0"/>
    <w:rsid w:val="007B21AA"/>
    <w:rsid w:val="007B37E3"/>
    <w:rsid w:val="007B7AD4"/>
    <w:rsid w:val="007C2CEA"/>
    <w:rsid w:val="007C4D10"/>
    <w:rsid w:val="007D43DD"/>
    <w:rsid w:val="007D5977"/>
    <w:rsid w:val="007F18CE"/>
    <w:rsid w:val="007F7DDA"/>
    <w:rsid w:val="00820FED"/>
    <w:rsid w:val="00826D17"/>
    <w:rsid w:val="0083587F"/>
    <w:rsid w:val="00840B12"/>
    <w:rsid w:val="00850415"/>
    <w:rsid w:val="0085209E"/>
    <w:rsid w:val="00861931"/>
    <w:rsid w:val="00872A16"/>
    <w:rsid w:val="00873985"/>
    <w:rsid w:val="0087552D"/>
    <w:rsid w:val="0087633D"/>
    <w:rsid w:val="00887B6B"/>
    <w:rsid w:val="00890C4A"/>
    <w:rsid w:val="00892CC5"/>
    <w:rsid w:val="008A40C6"/>
    <w:rsid w:val="008A4D30"/>
    <w:rsid w:val="008B3D0F"/>
    <w:rsid w:val="008B5C3E"/>
    <w:rsid w:val="008B6E30"/>
    <w:rsid w:val="008C48F6"/>
    <w:rsid w:val="008D0933"/>
    <w:rsid w:val="008D23A4"/>
    <w:rsid w:val="008E01B8"/>
    <w:rsid w:val="008E714B"/>
    <w:rsid w:val="008F68E4"/>
    <w:rsid w:val="009118EF"/>
    <w:rsid w:val="0093632E"/>
    <w:rsid w:val="00942665"/>
    <w:rsid w:val="00944FA8"/>
    <w:rsid w:val="00944FB5"/>
    <w:rsid w:val="00946132"/>
    <w:rsid w:val="009523CD"/>
    <w:rsid w:val="00954BD3"/>
    <w:rsid w:val="00983740"/>
    <w:rsid w:val="00994555"/>
    <w:rsid w:val="00996997"/>
    <w:rsid w:val="009A2D25"/>
    <w:rsid w:val="009A5EE7"/>
    <w:rsid w:val="009B3204"/>
    <w:rsid w:val="009B38D5"/>
    <w:rsid w:val="009B7FB6"/>
    <w:rsid w:val="009C10AF"/>
    <w:rsid w:val="009C6797"/>
    <w:rsid w:val="009D4451"/>
    <w:rsid w:val="009E3F57"/>
    <w:rsid w:val="009E617C"/>
    <w:rsid w:val="00A239E5"/>
    <w:rsid w:val="00A2594B"/>
    <w:rsid w:val="00A27386"/>
    <w:rsid w:val="00A318CF"/>
    <w:rsid w:val="00A372CC"/>
    <w:rsid w:val="00A47AC2"/>
    <w:rsid w:val="00A60CA7"/>
    <w:rsid w:val="00A63D22"/>
    <w:rsid w:val="00A7007A"/>
    <w:rsid w:val="00A72C6F"/>
    <w:rsid w:val="00A72FEF"/>
    <w:rsid w:val="00A74299"/>
    <w:rsid w:val="00A75039"/>
    <w:rsid w:val="00A92232"/>
    <w:rsid w:val="00A9379E"/>
    <w:rsid w:val="00AA4010"/>
    <w:rsid w:val="00AC18C9"/>
    <w:rsid w:val="00AD0883"/>
    <w:rsid w:val="00AD279E"/>
    <w:rsid w:val="00AD4D16"/>
    <w:rsid w:val="00AD6D7B"/>
    <w:rsid w:val="00B039ED"/>
    <w:rsid w:val="00B045B4"/>
    <w:rsid w:val="00B055B2"/>
    <w:rsid w:val="00B06171"/>
    <w:rsid w:val="00B0788F"/>
    <w:rsid w:val="00B14612"/>
    <w:rsid w:val="00B165C8"/>
    <w:rsid w:val="00B24BFE"/>
    <w:rsid w:val="00B27C33"/>
    <w:rsid w:val="00B27FFE"/>
    <w:rsid w:val="00B3168F"/>
    <w:rsid w:val="00B32006"/>
    <w:rsid w:val="00B4188E"/>
    <w:rsid w:val="00B57DC1"/>
    <w:rsid w:val="00B61B66"/>
    <w:rsid w:val="00B65686"/>
    <w:rsid w:val="00B96BDE"/>
    <w:rsid w:val="00BA3FF1"/>
    <w:rsid w:val="00BB063C"/>
    <w:rsid w:val="00BB10F7"/>
    <w:rsid w:val="00BB15DB"/>
    <w:rsid w:val="00BB1661"/>
    <w:rsid w:val="00BB2E89"/>
    <w:rsid w:val="00BB4B28"/>
    <w:rsid w:val="00BB5B7C"/>
    <w:rsid w:val="00BC71AF"/>
    <w:rsid w:val="00BD40BB"/>
    <w:rsid w:val="00BD468E"/>
    <w:rsid w:val="00BD642F"/>
    <w:rsid w:val="00BD7D32"/>
    <w:rsid w:val="00BE392B"/>
    <w:rsid w:val="00BE3D11"/>
    <w:rsid w:val="00BE78B6"/>
    <w:rsid w:val="00BF0910"/>
    <w:rsid w:val="00BF64A4"/>
    <w:rsid w:val="00C00721"/>
    <w:rsid w:val="00C0139F"/>
    <w:rsid w:val="00C03395"/>
    <w:rsid w:val="00C03BF8"/>
    <w:rsid w:val="00C11B4F"/>
    <w:rsid w:val="00C20106"/>
    <w:rsid w:val="00C223BA"/>
    <w:rsid w:val="00C30199"/>
    <w:rsid w:val="00C4773A"/>
    <w:rsid w:val="00C633C6"/>
    <w:rsid w:val="00C72866"/>
    <w:rsid w:val="00C842E7"/>
    <w:rsid w:val="00C84C99"/>
    <w:rsid w:val="00C90384"/>
    <w:rsid w:val="00CA4BB7"/>
    <w:rsid w:val="00CB746E"/>
    <w:rsid w:val="00CD2AE8"/>
    <w:rsid w:val="00CD6D92"/>
    <w:rsid w:val="00CE46BD"/>
    <w:rsid w:val="00CE613B"/>
    <w:rsid w:val="00CF2F80"/>
    <w:rsid w:val="00CF5911"/>
    <w:rsid w:val="00CF714B"/>
    <w:rsid w:val="00D02007"/>
    <w:rsid w:val="00D0590B"/>
    <w:rsid w:val="00D1046B"/>
    <w:rsid w:val="00D127A7"/>
    <w:rsid w:val="00D163C8"/>
    <w:rsid w:val="00D171E2"/>
    <w:rsid w:val="00D25D1F"/>
    <w:rsid w:val="00D34117"/>
    <w:rsid w:val="00D34FDA"/>
    <w:rsid w:val="00D56ED5"/>
    <w:rsid w:val="00D572F3"/>
    <w:rsid w:val="00D57C38"/>
    <w:rsid w:val="00D6041A"/>
    <w:rsid w:val="00D6588E"/>
    <w:rsid w:val="00D712E6"/>
    <w:rsid w:val="00D743A2"/>
    <w:rsid w:val="00D75B60"/>
    <w:rsid w:val="00D835EB"/>
    <w:rsid w:val="00D84C8F"/>
    <w:rsid w:val="00D8678C"/>
    <w:rsid w:val="00D9152B"/>
    <w:rsid w:val="00D96093"/>
    <w:rsid w:val="00DA26FF"/>
    <w:rsid w:val="00DA47BA"/>
    <w:rsid w:val="00DB174C"/>
    <w:rsid w:val="00DB242F"/>
    <w:rsid w:val="00DB4A2E"/>
    <w:rsid w:val="00DC43EA"/>
    <w:rsid w:val="00DD09F8"/>
    <w:rsid w:val="00DD5984"/>
    <w:rsid w:val="00DD72B5"/>
    <w:rsid w:val="00DD74F7"/>
    <w:rsid w:val="00DE5B41"/>
    <w:rsid w:val="00DF25D9"/>
    <w:rsid w:val="00DF7D13"/>
    <w:rsid w:val="00E324A1"/>
    <w:rsid w:val="00E33914"/>
    <w:rsid w:val="00E448E9"/>
    <w:rsid w:val="00E54364"/>
    <w:rsid w:val="00E554A5"/>
    <w:rsid w:val="00E5726C"/>
    <w:rsid w:val="00E74D68"/>
    <w:rsid w:val="00E82945"/>
    <w:rsid w:val="00E83D62"/>
    <w:rsid w:val="00E8758F"/>
    <w:rsid w:val="00E87FC9"/>
    <w:rsid w:val="00E911C3"/>
    <w:rsid w:val="00EA7A41"/>
    <w:rsid w:val="00EB685D"/>
    <w:rsid w:val="00EC0A5D"/>
    <w:rsid w:val="00ED3294"/>
    <w:rsid w:val="00ED553A"/>
    <w:rsid w:val="00ED75A3"/>
    <w:rsid w:val="00EE1F92"/>
    <w:rsid w:val="00EF2214"/>
    <w:rsid w:val="00EF677E"/>
    <w:rsid w:val="00EF7C16"/>
    <w:rsid w:val="00F00213"/>
    <w:rsid w:val="00F00C2C"/>
    <w:rsid w:val="00F022E6"/>
    <w:rsid w:val="00F0603C"/>
    <w:rsid w:val="00F07548"/>
    <w:rsid w:val="00F107D9"/>
    <w:rsid w:val="00F16A2F"/>
    <w:rsid w:val="00F227C2"/>
    <w:rsid w:val="00F2284F"/>
    <w:rsid w:val="00F242B8"/>
    <w:rsid w:val="00F26CC0"/>
    <w:rsid w:val="00F3297C"/>
    <w:rsid w:val="00F40786"/>
    <w:rsid w:val="00F41EB6"/>
    <w:rsid w:val="00F42318"/>
    <w:rsid w:val="00F442CF"/>
    <w:rsid w:val="00F51F43"/>
    <w:rsid w:val="00F53CE3"/>
    <w:rsid w:val="00F73BEF"/>
    <w:rsid w:val="00F7553C"/>
    <w:rsid w:val="00F77AE4"/>
    <w:rsid w:val="00F8790C"/>
    <w:rsid w:val="00F970C1"/>
    <w:rsid w:val="00F97A00"/>
    <w:rsid w:val="00FA06E1"/>
    <w:rsid w:val="00FA3439"/>
    <w:rsid w:val="00FB32B3"/>
    <w:rsid w:val="00FB5E90"/>
    <w:rsid w:val="00FD3F9D"/>
    <w:rsid w:val="00FD557D"/>
    <w:rsid w:val="00FE0B9F"/>
    <w:rsid w:val="00FE4AA5"/>
    <w:rsid w:val="00FE7363"/>
    <w:rsid w:val="00FF0535"/>
    <w:rsid w:val="00FF26D3"/>
    <w:rsid w:val="00FF4C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F8BF"/>
  <w15:docId w15:val="{1DB39FA5-79EE-4521-9E83-C0E77012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AE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5A25E2"/>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872A16"/>
    <w:pPr>
      <w:ind w:left="1800"/>
      <w:jc w:val="both"/>
    </w:pPr>
    <w:rPr>
      <w:i/>
      <w:sz w:val="24"/>
    </w:rPr>
  </w:style>
  <w:style w:type="character" w:customStyle="1" w:styleId="RecuodecorpodetextoChar">
    <w:name w:val="Recuo de corpo de texto Char"/>
    <w:basedOn w:val="Fontepargpadro"/>
    <w:link w:val="Recuodecorpodetexto"/>
    <w:semiHidden/>
    <w:rsid w:val="00872A16"/>
    <w:rPr>
      <w:rFonts w:ascii="Times New Roman" w:eastAsia="Times New Roman" w:hAnsi="Times New Roman" w:cs="Times New Roman"/>
      <w:i/>
      <w:sz w:val="24"/>
      <w:szCs w:val="20"/>
      <w:lang w:eastAsia="pt-BR"/>
    </w:rPr>
  </w:style>
  <w:style w:type="paragraph" w:styleId="Cabealho">
    <w:name w:val="header"/>
    <w:basedOn w:val="Normal"/>
    <w:link w:val="CabealhoChar"/>
    <w:semiHidden/>
    <w:rsid w:val="00872A16"/>
    <w:pPr>
      <w:tabs>
        <w:tab w:val="center" w:pos="4419"/>
        <w:tab w:val="right" w:pos="8838"/>
      </w:tabs>
    </w:pPr>
    <w:rPr>
      <w:sz w:val="24"/>
      <w:szCs w:val="24"/>
    </w:rPr>
  </w:style>
  <w:style w:type="character" w:customStyle="1" w:styleId="CabealhoChar">
    <w:name w:val="Cabeçalho Char"/>
    <w:basedOn w:val="Fontepargpadro"/>
    <w:link w:val="Cabealho"/>
    <w:semiHidden/>
    <w:rsid w:val="00872A16"/>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872A16"/>
    <w:pPr>
      <w:spacing w:before="100" w:beforeAutospacing="1" w:after="100" w:afterAutospacing="1"/>
    </w:pPr>
    <w:rPr>
      <w:sz w:val="24"/>
      <w:szCs w:val="24"/>
    </w:rPr>
  </w:style>
  <w:style w:type="character" w:styleId="Hyperlink">
    <w:name w:val="Hyperlink"/>
    <w:basedOn w:val="Fontepargpadro"/>
    <w:uiPriority w:val="99"/>
    <w:semiHidden/>
    <w:unhideWhenUsed/>
    <w:rsid w:val="00872A16"/>
    <w:rPr>
      <w:color w:val="0000FF"/>
      <w:u w:val="single"/>
    </w:rPr>
  </w:style>
  <w:style w:type="paragraph" w:customStyle="1" w:styleId="western">
    <w:name w:val="western"/>
    <w:basedOn w:val="Normal"/>
    <w:rsid w:val="006C6C0F"/>
    <w:pPr>
      <w:spacing w:before="100" w:beforeAutospacing="1" w:after="119"/>
    </w:pPr>
    <w:rPr>
      <w:sz w:val="24"/>
      <w:szCs w:val="24"/>
    </w:rPr>
  </w:style>
  <w:style w:type="paragraph" w:styleId="Recuodecorpodetexto3">
    <w:name w:val="Body Text Indent 3"/>
    <w:basedOn w:val="Normal"/>
    <w:link w:val="Recuodecorpodetexto3Char"/>
    <w:uiPriority w:val="99"/>
    <w:unhideWhenUsed/>
    <w:rsid w:val="00061B7B"/>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061B7B"/>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421ED8"/>
    <w:pPr>
      <w:ind w:left="720"/>
      <w:contextualSpacing/>
    </w:pPr>
  </w:style>
  <w:style w:type="paragraph" w:styleId="Textodebalo">
    <w:name w:val="Balloon Text"/>
    <w:basedOn w:val="Normal"/>
    <w:link w:val="TextodebaloChar"/>
    <w:uiPriority w:val="99"/>
    <w:semiHidden/>
    <w:unhideWhenUsed/>
    <w:rsid w:val="000F2A10"/>
    <w:rPr>
      <w:rFonts w:ascii="Segoe UI" w:hAnsi="Segoe UI" w:cs="Segoe UI"/>
      <w:sz w:val="18"/>
      <w:szCs w:val="18"/>
    </w:rPr>
  </w:style>
  <w:style w:type="character" w:customStyle="1" w:styleId="TextodebaloChar">
    <w:name w:val="Texto de balão Char"/>
    <w:basedOn w:val="Fontepargpadro"/>
    <w:link w:val="Textodebalo"/>
    <w:uiPriority w:val="99"/>
    <w:semiHidden/>
    <w:rsid w:val="000F2A10"/>
    <w:rPr>
      <w:rFonts w:ascii="Segoe UI" w:eastAsia="Times New Roman" w:hAnsi="Segoe UI" w:cs="Segoe UI"/>
      <w:sz w:val="18"/>
      <w:szCs w:val="18"/>
      <w:lang w:eastAsia="pt-BR"/>
    </w:rPr>
  </w:style>
  <w:style w:type="paragraph" w:styleId="TextosemFormatao">
    <w:name w:val="Plain Text"/>
    <w:basedOn w:val="Normal"/>
    <w:link w:val="TextosemFormataoChar"/>
    <w:uiPriority w:val="99"/>
    <w:unhideWhenUsed/>
    <w:rsid w:val="00D712E6"/>
    <w:rPr>
      <w:rFonts w:ascii="Calibri" w:eastAsiaTheme="minorHAnsi" w:hAnsi="Calibri" w:cstheme="minorBidi"/>
      <w:sz w:val="22"/>
      <w:szCs w:val="21"/>
      <w:lang w:eastAsia="en-US"/>
    </w:rPr>
  </w:style>
  <w:style w:type="character" w:customStyle="1" w:styleId="TextosemFormataoChar">
    <w:name w:val="Texto sem Formatação Char"/>
    <w:basedOn w:val="Fontepargpadro"/>
    <w:link w:val="TextosemFormatao"/>
    <w:uiPriority w:val="99"/>
    <w:rsid w:val="00D712E6"/>
    <w:rPr>
      <w:rFonts w:ascii="Calibri" w:hAnsi="Calibri"/>
      <w:szCs w:val="21"/>
    </w:rPr>
  </w:style>
  <w:style w:type="paragraph" w:styleId="Rodap">
    <w:name w:val="footer"/>
    <w:basedOn w:val="Normal"/>
    <w:link w:val="RodapChar"/>
    <w:uiPriority w:val="99"/>
    <w:semiHidden/>
    <w:unhideWhenUsed/>
    <w:rsid w:val="00074888"/>
    <w:rPr>
      <w:rFonts w:eastAsiaTheme="minorHAnsi"/>
      <w:sz w:val="24"/>
      <w:szCs w:val="24"/>
    </w:rPr>
  </w:style>
  <w:style w:type="character" w:customStyle="1" w:styleId="RodapChar">
    <w:name w:val="Rodapé Char"/>
    <w:basedOn w:val="Fontepargpadro"/>
    <w:link w:val="Rodap"/>
    <w:uiPriority w:val="99"/>
    <w:semiHidden/>
    <w:rsid w:val="00074888"/>
    <w:rPr>
      <w:rFonts w:ascii="Times New Roman" w:hAnsi="Times New Roman" w:cs="Times New Roman"/>
      <w:sz w:val="24"/>
      <w:szCs w:val="24"/>
      <w:lang w:eastAsia="pt-BR"/>
    </w:rPr>
  </w:style>
  <w:style w:type="character" w:customStyle="1" w:styleId="Ttulo1Char">
    <w:name w:val="Título 1 Char"/>
    <w:basedOn w:val="Fontepargpadro"/>
    <w:link w:val="Ttulo1"/>
    <w:uiPriority w:val="9"/>
    <w:rsid w:val="005A25E2"/>
    <w:rPr>
      <w:rFonts w:ascii="Times New Roman" w:eastAsia="Times New Roman" w:hAnsi="Times New Roman" w:cs="Times New Roman"/>
      <w:b/>
      <w:bCs/>
      <w:kern w:val="36"/>
      <w:sz w:val="48"/>
      <w:szCs w:val="48"/>
      <w:lang w:eastAsia="pt-BR"/>
    </w:rPr>
  </w:style>
  <w:style w:type="table" w:styleId="Tabelacomgrade">
    <w:name w:val="Table Grid"/>
    <w:basedOn w:val="Tabelanormal"/>
    <w:uiPriority w:val="39"/>
    <w:rsid w:val="00F77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1EB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artigo1ate9">
    <w:name w:val="artigo_1_ate_9º"/>
    <w:basedOn w:val="Normal"/>
    <w:rsid w:val="00A9379E"/>
    <w:pPr>
      <w:spacing w:before="100" w:beforeAutospacing="1" w:after="100" w:afterAutospacing="1"/>
    </w:pPr>
    <w:rPr>
      <w:sz w:val="24"/>
      <w:szCs w:val="24"/>
    </w:rPr>
  </w:style>
  <w:style w:type="paragraph" w:customStyle="1" w:styleId="tabelatexto8">
    <w:name w:val="tabela_texto_8"/>
    <w:basedOn w:val="Normal"/>
    <w:rsid w:val="00A9379E"/>
    <w:pPr>
      <w:spacing w:before="100" w:beforeAutospacing="1" w:after="100" w:afterAutospacing="1"/>
    </w:pPr>
    <w:rPr>
      <w:sz w:val="24"/>
      <w:szCs w:val="24"/>
    </w:rPr>
  </w:style>
  <w:style w:type="paragraph" w:customStyle="1" w:styleId="textojustificadorecuoprimeiralinha">
    <w:name w:val="texto_justificado_recuo_primeira_linha"/>
    <w:basedOn w:val="Normal"/>
    <w:rsid w:val="00257EB8"/>
    <w:pPr>
      <w:spacing w:before="100" w:beforeAutospacing="1" w:after="100" w:afterAutospacing="1"/>
    </w:pPr>
    <w:rPr>
      <w:sz w:val="24"/>
      <w:szCs w:val="24"/>
    </w:rPr>
  </w:style>
  <w:style w:type="character" w:styleId="Forte">
    <w:name w:val="Strong"/>
    <w:basedOn w:val="Fontepargpadro"/>
    <w:uiPriority w:val="22"/>
    <w:qFormat/>
    <w:rsid w:val="00257EB8"/>
    <w:rPr>
      <w:b/>
      <w:bCs/>
    </w:rPr>
  </w:style>
  <w:style w:type="character" w:styleId="Refdecomentrio">
    <w:name w:val="annotation reference"/>
    <w:basedOn w:val="Fontepargpadro"/>
    <w:uiPriority w:val="99"/>
    <w:semiHidden/>
    <w:unhideWhenUsed/>
    <w:rsid w:val="005E19AE"/>
    <w:rPr>
      <w:sz w:val="16"/>
      <w:szCs w:val="16"/>
    </w:rPr>
  </w:style>
  <w:style w:type="paragraph" w:styleId="Textodecomentrio">
    <w:name w:val="annotation text"/>
    <w:basedOn w:val="Normal"/>
    <w:link w:val="TextodecomentrioChar"/>
    <w:uiPriority w:val="99"/>
    <w:unhideWhenUsed/>
    <w:rsid w:val="005E19AE"/>
  </w:style>
  <w:style w:type="character" w:customStyle="1" w:styleId="TextodecomentrioChar">
    <w:name w:val="Texto de comentário Char"/>
    <w:basedOn w:val="Fontepargpadro"/>
    <w:link w:val="Textodecomentrio"/>
    <w:uiPriority w:val="99"/>
    <w:rsid w:val="005E19AE"/>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E19AE"/>
    <w:rPr>
      <w:b/>
      <w:bCs/>
    </w:rPr>
  </w:style>
  <w:style w:type="character" w:customStyle="1" w:styleId="AssuntodocomentrioChar">
    <w:name w:val="Assunto do comentário Char"/>
    <w:basedOn w:val="TextodecomentrioChar"/>
    <w:link w:val="Assuntodocomentrio"/>
    <w:uiPriority w:val="99"/>
    <w:semiHidden/>
    <w:rsid w:val="005E19AE"/>
    <w:rPr>
      <w:rFonts w:ascii="Times New Roman" w:eastAsia="Times New Roman" w:hAnsi="Times New Roman" w:cs="Times New Roman"/>
      <w:b/>
      <w:bCs/>
      <w:sz w:val="20"/>
      <w:szCs w:val="20"/>
      <w:lang w:eastAsia="pt-BR"/>
    </w:rPr>
  </w:style>
  <w:style w:type="paragraph" w:customStyle="1" w:styleId="textocentralizadomaiusculasnegrito">
    <w:name w:val="texto_centralizado_maiusculas_negrito"/>
    <w:basedOn w:val="Normal"/>
    <w:rsid w:val="00543802"/>
    <w:pPr>
      <w:spacing w:before="100" w:beforeAutospacing="1" w:after="100" w:afterAutospacing="1"/>
    </w:pPr>
    <w:rPr>
      <w:sz w:val="24"/>
      <w:szCs w:val="24"/>
    </w:rPr>
  </w:style>
  <w:style w:type="paragraph" w:customStyle="1" w:styleId="inciso">
    <w:name w:val="inciso"/>
    <w:basedOn w:val="Normal"/>
    <w:rsid w:val="00C72866"/>
    <w:pPr>
      <w:spacing w:before="100" w:beforeAutospacing="1" w:after="100" w:afterAutospacing="1"/>
    </w:pPr>
    <w:rPr>
      <w:sz w:val="24"/>
      <w:szCs w:val="24"/>
    </w:rPr>
  </w:style>
  <w:style w:type="paragraph" w:customStyle="1" w:styleId="textojustificado">
    <w:name w:val="texto_justificado"/>
    <w:basedOn w:val="Normal"/>
    <w:rsid w:val="00005C6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8292">
      <w:bodyDiv w:val="1"/>
      <w:marLeft w:val="0"/>
      <w:marRight w:val="0"/>
      <w:marTop w:val="0"/>
      <w:marBottom w:val="0"/>
      <w:divBdr>
        <w:top w:val="none" w:sz="0" w:space="0" w:color="auto"/>
        <w:left w:val="none" w:sz="0" w:space="0" w:color="auto"/>
        <w:bottom w:val="none" w:sz="0" w:space="0" w:color="auto"/>
        <w:right w:val="none" w:sz="0" w:space="0" w:color="auto"/>
      </w:divBdr>
    </w:div>
    <w:div w:id="109251046">
      <w:bodyDiv w:val="1"/>
      <w:marLeft w:val="0"/>
      <w:marRight w:val="0"/>
      <w:marTop w:val="0"/>
      <w:marBottom w:val="0"/>
      <w:divBdr>
        <w:top w:val="none" w:sz="0" w:space="0" w:color="auto"/>
        <w:left w:val="none" w:sz="0" w:space="0" w:color="auto"/>
        <w:bottom w:val="none" w:sz="0" w:space="0" w:color="auto"/>
        <w:right w:val="none" w:sz="0" w:space="0" w:color="auto"/>
      </w:divBdr>
    </w:div>
    <w:div w:id="142548979">
      <w:bodyDiv w:val="1"/>
      <w:marLeft w:val="0"/>
      <w:marRight w:val="0"/>
      <w:marTop w:val="0"/>
      <w:marBottom w:val="0"/>
      <w:divBdr>
        <w:top w:val="none" w:sz="0" w:space="0" w:color="auto"/>
        <w:left w:val="none" w:sz="0" w:space="0" w:color="auto"/>
        <w:bottom w:val="none" w:sz="0" w:space="0" w:color="auto"/>
        <w:right w:val="none" w:sz="0" w:space="0" w:color="auto"/>
      </w:divBdr>
    </w:div>
    <w:div w:id="158349927">
      <w:bodyDiv w:val="1"/>
      <w:marLeft w:val="0"/>
      <w:marRight w:val="0"/>
      <w:marTop w:val="0"/>
      <w:marBottom w:val="0"/>
      <w:divBdr>
        <w:top w:val="none" w:sz="0" w:space="0" w:color="auto"/>
        <w:left w:val="none" w:sz="0" w:space="0" w:color="auto"/>
        <w:bottom w:val="none" w:sz="0" w:space="0" w:color="auto"/>
        <w:right w:val="none" w:sz="0" w:space="0" w:color="auto"/>
      </w:divBdr>
    </w:div>
    <w:div w:id="180241053">
      <w:bodyDiv w:val="1"/>
      <w:marLeft w:val="0"/>
      <w:marRight w:val="0"/>
      <w:marTop w:val="0"/>
      <w:marBottom w:val="0"/>
      <w:divBdr>
        <w:top w:val="none" w:sz="0" w:space="0" w:color="auto"/>
        <w:left w:val="none" w:sz="0" w:space="0" w:color="auto"/>
        <w:bottom w:val="none" w:sz="0" w:space="0" w:color="auto"/>
        <w:right w:val="none" w:sz="0" w:space="0" w:color="auto"/>
      </w:divBdr>
    </w:div>
    <w:div w:id="217666723">
      <w:bodyDiv w:val="1"/>
      <w:marLeft w:val="0"/>
      <w:marRight w:val="0"/>
      <w:marTop w:val="0"/>
      <w:marBottom w:val="0"/>
      <w:divBdr>
        <w:top w:val="none" w:sz="0" w:space="0" w:color="auto"/>
        <w:left w:val="none" w:sz="0" w:space="0" w:color="auto"/>
        <w:bottom w:val="none" w:sz="0" w:space="0" w:color="auto"/>
        <w:right w:val="none" w:sz="0" w:space="0" w:color="auto"/>
      </w:divBdr>
    </w:div>
    <w:div w:id="222912748">
      <w:bodyDiv w:val="1"/>
      <w:marLeft w:val="0"/>
      <w:marRight w:val="0"/>
      <w:marTop w:val="0"/>
      <w:marBottom w:val="0"/>
      <w:divBdr>
        <w:top w:val="none" w:sz="0" w:space="0" w:color="auto"/>
        <w:left w:val="none" w:sz="0" w:space="0" w:color="auto"/>
        <w:bottom w:val="none" w:sz="0" w:space="0" w:color="auto"/>
        <w:right w:val="none" w:sz="0" w:space="0" w:color="auto"/>
      </w:divBdr>
    </w:div>
    <w:div w:id="300159359">
      <w:bodyDiv w:val="1"/>
      <w:marLeft w:val="0"/>
      <w:marRight w:val="0"/>
      <w:marTop w:val="0"/>
      <w:marBottom w:val="0"/>
      <w:divBdr>
        <w:top w:val="none" w:sz="0" w:space="0" w:color="auto"/>
        <w:left w:val="none" w:sz="0" w:space="0" w:color="auto"/>
        <w:bottom w:val="none" w:sz="0" w:space="0" w:color="auto"/>
        <w:right w:val="none" w:sz="0" w:space="0" w:color="auto"/>
      </w:divBdr>
    </w:div>
    <w:div w:id="312488352">
      <w:bodyDiv w:val="1"/>
      <w:marLeft w:val="0"/>
      <w:marRight w:val="0"/>
      <w:marTop w:val="0"/>
      <w:marBottom w:val="0"/>
      <w:divBdr>
        <w:top w:val="none" w:sz="0" w:space="0" w:color="auto"/>
        <w:left w:val="none" w:sz="0" w:space="0" w:color="auto"/>
        <w:bottom w:val="none" w:sz="0" w:space="0" w:color="auto"/>
        <w:right w:val="none" w:sz="0" w:space="0" w:color="auto"/>
      </w:divBdr>
    </w:div>
    <w:div w:id="318273481">
      <w:bodyDiv w:val="1"/>
      <w:marLeft w:val="0"/>
      <w:marRight w:val="0"/>
      <w:marTop w:val="0"/>
      <w:marBottom w:val="0"/>
      <w:divBdr>
        <w:top w:val="none" w:sz="0" w:space="0" w:color="auto"/>
        <w:left w:val="none" w:sz="0" w:space="0" w:color="auto"/>
        <w:bottom w:val="none" w:sz="0" w:space="0" w:color="auto"/>
        <w:right w:val="none" w:sz="0" w:space="0" w:color="auto"/>
      </w:divBdr>
    </w:div>
    <w:div w:id="334496139">
      <w:bodyDiv w:val="1"/>
      <w:marLeft w:val="0"/>
      <w:marRight w:val="0"/>
      <w:marTop w:val="0"/>
      <w:marBottom w:val="0"/>
      <w:divBdr>
        <w:top w:val="none" w:sz="0" w:space="0" w:color="auto"/>
        <w:left w:val="none" w:sz="0" w:space="0" w:color="auto"/>
        <w:bottom w:val="none" w:sz="0" w:space="0" w:color="auto"/>
        <w:right w:val="none" w:sz="0" w:space="0" w:color="auto"/>
      </w:divBdr>
    </w:div>
    <w:div w:id="337735331">
      <w:bodyDiv w:val="1"/>
      <w:marLeft w:val="0"/>
      <w:marRight w:val="0"/>
      <w:marTop w:val="0"/>
      <w:marBottom w:val="0"/>
      <w:divBdr>
        <w:top w:val="none" w:sz="0" w:space="0" w:color="auto"/>
        <w:left w:val="none" w:sz="0" w:space="0" w:color="auto"/>
        <w:bottom w:val="none" w:sz="0" w:space="0" w:color="auto"/>
        <w:right w:val="none" w:sz="0" w:space="0" w:color="auto"/>
      </w:divBdr>
    </w:div>
    <w:div w:id="383145773">
      <w:bodyDiv w:val="1"/>
      <w:marLeft w:val="0"/>
      <w:marRight w:val="0"/>
      <w:marTop w:val="0"/>
      <w:marBottom w:val="0"/>
      <w:divBdr>
        <w:top w:val="none" w:sz="0" w:space="0" w:color="auto"/>
        <w:left w:val="none" w:sz="0" w:space="0" w:color="auto"/>
        <w:bottom w:val="none" w:sz="0" w:space="0" w:color="auto"/>
        <w:right w:val="none" w:sz="0" w:space="0" w:color="auto"/>
      </w:divBdr>
    </w:div>
    <w:div w:id="385838360">
      <w:bodyDiv w:val="1"/>
      <w:marLeft w:val="0"/>
      <w:marRight w:val="0"/>
      <w:marTop w:val="0"/>
      <w:marBottom w:val="0"/>
      <w:divBdr>
        <w:top w:val="none" w:sz="0" w:space="0" w:color="auto"/>
        <w:left w:val="none" w:sz="0" w:space="0" w:color="auto"/>
        <w:bottom w:val="none" w:sz="0" w:space="0" w:color="auto"/>
        <w:right w:val="none" w:sz="0" w:space="0" w:color="auto"/>
      </w:divBdr>
    </w:div>
    <w:div w:id="399716400">
      <w:bodyDiv w:val="1"/>
      <w:marLeft w:val="0"/>
      <w:marRight w:val="0"/>
      <w:marTop w:val="0"/>
      <w:marBottom w:val="0"/>
      <w:divBdr>
        <w:top w:val="none" w:sz="0" w:space="0" w:color="auto"/>
        <w:left w:val="none" w:sz="0" w:space="0" w:color="auto"/>
        <w:bottom w:val="none" w:sz="0" w:space="0" w:color="auto"/>
        <w:right w:val="none" w:sz="0" w:space="0" w:color="auto"/>
      </w:divBdr>
    </w:div>
    <w:div w:id="538779238">
      <w:bodyDiv w:val="1"/>
      <w:marLeft w:val="0"/>
      <w:marRight w:val="0"/>
      <w:marTop w:val="0"/>
      <w:marBottom w:val="0"/>
      <w:divBdr>
        <w:top w:val="none" w:sz="0" w:space="0" w:color="auto"/>
        <w:left w:val="none" w:sz="0" w:space="0" w:color="auto"/>
        <w:bottom w:val="none" w:sz="0" w:space="0" w:color="auto"/>
        <w:right w:val="none" w:sz="0" w:space="0" w:color="auto"/>
      </w:divBdr>
    </w:div>
    <w:div w:id="573046943">
      <w:bodyDiv w:val="1"/>
      <w:marLeft w:val="0"/>
      <w:marRight w:val="0"/>
      <w:marTop w:val="0"/>
      <w:marBottom w:val="0"/>
      <w:divBdr>
        <w:top w:val="none" w:sz="0" w:space="0" w:color="auto"/>
        <w:left w:val="none" w:sz="0" w:space="0" w:color="auto"/>
        <w:bottom w:val="none" w:sz="0" w:space="0" w:color="auto"/>
        <w:right w:val="none" w:sz="0" w:space="0" w:color="auto"/>
      </w:divBdr>
    </w:div>
    <w:div w:id="597374997">
      <w:bodyDiv w:val="1"/>
      <w:marLeft w:val="0"/>
      <w:marRight w:val="0"/>
      <w:marTop w:val="0"/>
      <w:marBottom w:val="0"/>
      <w:divBdr>
        <w:top w:val="none" w:sz="0" w:space="0" w:color="auto"/>
        <w:left w:val="none" w:sz="0" w:space="0" w:color="auto"/>
        <w:bottom w:val="none" w:sz="0" w:space="0" w:color="auto"/>
        <w:right w:val="none" w:sz="0" w:space="0" w:color="auto"/>
      </w:divBdr>
    </w:div>
    <w:div w:id="599291416">
      <w:bodyDiv w:val="1"/>
      <w:marLeft w:val="0"/>
      <w:marRight w:val="0"/>
      <w:marTop w:val="0"/>
      <w:marBottom w:val="0"/>
      <w:divBdr>
        <w:top w:val="none" w:sz="0" w:space="0" w:color="auto"/>
        <w:left w:val="none" w:sz="0" w:space="0" w:color="auto"/>
        <w:bottom w:val="none" w:sz="0" w:space="0" w:color="auto"/>
        <w:right w:val="none" w:sz="0" w:space="0" w:color="auto"/>
      </w:divBdr>
    </w:div>
    <w:div w:id="607347853">
      <w:bodyDiv w:val="1"/>
      <w:marLeft w:val="0"/>
      <w:marRight w:val="0"/>
      <w:marTop w:val="0"/>
      <w:marBottom w:val="0"/>
      <w:divBdr>
        <w:top w:val="none" w:sz="0" w:space="0" w:color="auto"/>
        <w:left w:val="none" w:sz="0" w:space="0" w:color="auto"/>
        <w:bottom w:val="none" w:sz="0" w:space="0" w:color="auto"/>
        <w:right w:val="none" w:sz="0" w:space="0" w:color="auto"/>
      </w:divBdr>
    </w:div>
    <w:div w:id="647366816">
      <w:bodyDiv w:val="1"/>
      <w:marLeft w:val="0"/>
      <w:marRight w:val="0"/>
      <w:marTop w:val="0"/>
      <w:marBottom w:val="0"/>
      <w:divBdr>
        <w:top w:val="none" w:sz="0" w:space="0" w:color="auto"/>
        <w:left w:val="none" w:sz="0" w:space="0" w:color="auto"/>
        <w:bottom w:val="none" w:sz="0" w:space="0" w:color="auto"/>
        <w:right w:val="none" w:sz="0" w:space="0" w:color="auto"/>
      </w:divBdr>
    </w:div>
    <w:div w:id="684523695">
      <w:bodyDiv w:val="1"/>
      <w:marLeft w:val="0"/>
      <w:marRight w:val="0"/>
      <w:marTop w:val="0"/>
      <w:marBottom w:val="0"/>
      <w:divBdr>
        <w:top w:val="none" w:sz="0" w:space="0" w:color="auto"/>
        <w:left w:val="none" w:sz="0" w:space="0" w:color="auto"/>
        <w:bottom w:val="none" w:sz="0" w:space="0" w:color="auto"/>
        <w:right w:val="none" w:sz="0" w:space="0" w:color="auto"/>
      </w:divBdr>
    </w:div>
    <w:div w:id="710153608">
      <w:bodyDiv w:val="1"/>
      <w:marLeft w:val="0"/>
      <w:marRight w:val="0"/>
      <w:marTop w:val="0"/>
      <w:marBottom w:val="0"/>
      <w:divBdr>
        <w:top w:val="none" w:sz="0" w:space="0" w:color="auto"/>
        <w:left w:val="none" w:sz="0" w:space="0" w:color="auto"/>
        <w:bottom w:val="none" w:sz="0" w:space="0" w:color="auto"/>
        <w:right w:val="none" w:sz="0" w:space="0" w:color="auto"/>
      </w:divBdr>
    </w:div>
    <w:div w:id="737173476">
      <w:bodyDiv w:val="1"/>
      <w:marLeft w:val="0"/>
      <w:marRight w:val="0"/>
      <w:marTop w:val="0"/>
      <w:marBottom w:val="0"/>
      <w:divBdr>
        <w:top w:val="none" w:sz="0" w:space="0" w:color="auto"/>
        <w:left w:val="none" w:sz="0" w:space="0" w:color="auto"/>
        <w:bottom w:val="none" w:sz="0" w:space="0" w:color="auto"/>
        <w:right w:val="none" w:sz="0" w:space="0" w:color="auto"/>
      </w:divBdr>
    </w:div>
    <w:div w:id="764376450">
      <w:bodyDiv w:val="1"/>
      <w:marLeft w:val="0"/>
      <w:marRight w:val="0"/>
      <w:marTop w:val="0"/>
      <w:marBottom w:val="0"/>
      <w:divBdr>
        <w:top w:val="none" w:sz="0" w:space="0" w:color="auto"/>
        <w:left w:val="none" w:sz="0" w:space="0" w:color="auto"/>
        <w:bottom w:val="none" w:sz="0" w:space="0" w:color="auto"/>
        <w:right w:val="none" w:sz="0" w:space="0" w:color="auto"/>
      </w:divBdr>
    </w:div>
    <w:div w:id="828981445">
      <w:bodyDiv w:val="1"/>
      <w:marLeft w:val="0"/>
      <w:marRight w:val="0"/>
      <w:marTop w:val="0"/>
      <w:marBottom w:val="0"/>
      <w:divBdr>
        <w:top w:val="none" w:sz="0" w:space="0" w:color="auto"/>
        <w:left w:val="none" w:sz="0" w:space="0" w:color="auto"/>
        <w:bottom w:val="none" w:sz="0" w:space="0" w:color="auto"/>
        <w:right w:val="none" w:sz="0" w:space="0" w:color="auto"/>
      </w:divBdr>
    </w:div>
    <w:div w:id="857499376">
      <w:bodyDiv w:val="1"/>
      <w:marLeft w:val="0"/>
      <w:marRight w:val="0"/>
      <w:marTop w:val="0"/>
      <w:marBottom w:val="0"/>
      <w:divBdr>
        <w:top w:val="none" w:sz="0" w:space="0" w:color="auto"/>
        <w:left w:val="none" w:sz="0" w:space="0" w:color="auto"/>
        <w:bottom w:val="none" w:sz="0" w:space="0" w:color="auto"/>
        <w:right w:val="none" w:sz="0" w:space="0" w:color="auto"/>
      </w:divBdr>
    </w:div>
    <w:div w:id="882404644">
      <w:bodyDiv w:val="1"/>
      <w:marLeft w:val="0"/>
      <w:marRight w:val="0"/>
      <w:marTop w:val="0"/>
      <w:marBottom w:val="0"/>
      <w:divBdr>
        <w:top w:val="none" w:sz="0" w:space="0" w:color="auto"/>
        <w:left w:val="none" w:sz="0" w:space="0" w:color="auto"/>
        <w:bottom w:val="none" w:sz="0" w:space="0" w:color="auto"/>
        <w:right w:val="none" w:sz="0" w:space="0" w:color="auto"/>
      </w:divBdr>
    </w:div>
    <w:div w:id="924606169">
      <w:bodyDiv w:val="1"/>
      <w:marLeft w:val="0"/>
      <w:marRight w:val="0"/>
      <w:marTop w:val="0"/>
      <w:marBottom w:val="0"/>
      <w:divBdr>
        <w:top w:val="none" w:sz="0" w:space="0" w:color="auto"/>
        <w:left w:val="none" w:sz="0" w:space="0" w:color="auto"/>
        <w:bottom w:val="none" w:sz="0" w:space="0" w:color="auto"/>
        <w:right w:val="none" w:sz="0" w:space="0" w:color="auto"/>
      </w:divBdr>
    </w:div>
    <w:div w:id="956180908">
      <w:bodyDiv w:val="1"/>
      <w:marLeft w:val="0"/>
      <w:marRight w:val="0"/>
      <w:marTop w:val="0"/>
      <w:marBottom w:val="0"/>
      <w:divBdr>
        <w:top w:val="none" w:sz="0" w:space="0" w:color="auto"/>
        <w:left w:val="none" w:sz="0" w:space="0" w:color="auto"/>
        <w:bottom w:val="none" w:sz="0" w:space="0" w:color="auto"/>
        <w:right w:val="none" w:sz="0" w:space="0" w:color="auto"/>
      </w:divBdr>
    </w:div>
    <w:div w:id="1021593439">
      <w:bodyDiv w:val="1"/>
      <w:marLeft w:val="0"/>
      <w:marRight w:val="0"/>
      <w:marTop w:val="0"/>
      <w:marBottom w:val="0"/>
      <w:divBdr>
        <w:top w:val="none" w:sz="0" w:space="0" w:color="auto"/>
        <w:left w:val="none" w:sz="0" w:space="0" w:color="auto"/>
        <w:bottom w:val="none" w:sz="0" w:space="0" w:color="auto"/>
        <w:right w:val="none" w:sz="0" w:space="0" w:color="auto"/>
      </w:divBdr>
    </w:div>
    <w:div w:id="1292402293">
      <w:bodyDiv w:val="1"/>
      <w:marLeft w:val="0"/>
      <w:marRight w:val="0"/>
      <w:marTop w:val="0"/>
      <w:marBottom w:val="0"/>
      <w:divBdr>
        <w:top w:val="none" w:sz="0" w:space="0" w:color="auto"/>
        <w:left w:val="none" w:sz="0" w:space="0" w:color="auto"/>
        <w:bottom w:val="none" w:sz="0" w:space="0" w:color="auto"/>
        <w:right w:val="none" w:sz="0" w:space="0" w:color="auto"/>
      </w:divBdr>
    </w:div>
    <w:div w:id="1304236803">
      <w:bodyDiv w:val="1"/>
      <w:marLeft w:val="0"/>
      <w:marRight w:val="0"/>
      <w:marTop w:val="0"/>
      <w:marBottom w:val="0"/>
      <w:divBdr>
        <w:top w:val="none" w:sz="0" w:space="0" w:color="auto"/>
        <w:left w:val="none" w:sz="0" w:space="0" w:color="auto"/>
        <w:bottom w:val="none" w:sz="0" w:space="0" w:color="auto"/>
        <w:right w:val="none" w:sz="0" w:space="0" w:color="auto"/>
      </w:divBdr>
    </w:div>
    <w:div w:id="1337919694">
      <w:bodyDiv w:val="1"/>
      <w:marLeft w:val="0"/>
      <w:marRight w:val="0"/>
      <w:marTop w:val="0"/>
      <w:marBottom w:val="0"/>
      <w:divBdr>
        <w:top w:val="none" w:sz="0" w:space="0" w:color="auto"/>
        <w:left w:val="none" w:sz="0" w:space="0" w:color="auto"/>
        <w:bottom w:val="none" w:sz="0" w:space="0" w:color="auto"/>
        <w:right w:val="none" w:sz="0" w:space="0" w:color="auto"/>
      </w:divBdr>
    </w:div>
    <w:div w:id="1342854149">
      <w:bodyDiv w:val="1"/>
      <w:marLeft w:val="0"/>
      <w:marRight w:val="0"/>
      <w:marTop w:val="0"/>
      <w:marBottom w:val="0"/>
      <w:divBdr>
        <w:top w:val="none" w:sz="0" w:space="0" w:color="auto"/>
        <w:left w:val="none" w:sz="0" w:space="0" w:color="auto"/>
        <w:bottom w:val="none" w:sz="0" w:space="0" w:color="auto"/>
        <w:right w:val="none" w:sz="0" w:space="0" w:color="auto"/>
      </w:divBdr>
    </w:div>
    <w:div w:id="1363094643">
      <w:bodyDiv w:val="1"/>
      <w:marLeft w:val="0"/>
      <w:marRight w:val="0"/>
      <w:marTop w:val="0"/>
      <w:marBottom w:val="0"/>
      <w:divBdr>
        <w:top w:val="none" w:sz="0" w:space="0" w:color="auto"/>
        <w:left w:val="none" w:sz="0" w:space="0" w:color="auto"/>
        <w:bottom w:val="none" w:sz="0" w:space="0" w:color="auto"/>
        <w:right w:val="none" w:sz="0" w:space="0" w:color="auto"/>
      </w:divBdr>
    </w:div>
    <w:div w:id="1369914697">
      <w:bodyDiv w:val="1"/>
      <w:marLeft w:val="0"/>
      <w:marRight w:val="0"/>
      <w:marTop w:val="0"/>
      <w:marBottom w:val="0"/>
      <w:divBdr>
        <w:top w:val="none" w:sz="0" w:space="0" w:color="auto"/>
        <w:left w:val="none" w:sz="0" w:space="0" w:color="auto"/>
        <w:bottom w:val="none" w:sz="0" w:space="0" w:color="auto"/>
        <w:right w:val="none" w:sz="0" w:space="0" w:color="auto"/>
      </w:divBdr>
    </w:div>
    <w:div w:id="1414468971">
      <w:bodyDiv w:val="1"/>
      <w:marLeft w:val="0"/>
      <w:marRight w:val="0"/>
      <w:marTop w:val="0"/>
      <w:marBottom w:val="0"/>
      <w:divBdr>
        <w:top w:val="none" w:sz="0" w:space="0" w:color="auto"/>
        <w:left w:val="none" w:sz="0" w:space="0" w:color="auto"/>
        <w:bottom w:val="none" w:sz="0" w:space="0" w:color="auto"/>
        <w:right w:val="none" w:sz="0" w:space="0" w:color="auto"/>
      </w:divBdr>
      <w:divsChild>
        <w:div w:id="55905712">
          <w:marLeft w:val="0"/>
          <w:marRight w:val="0"/>
          <w:marTop w:val="280"/>
          <w:marBottom w:val="280"/>
          <w:divBdr>
            <w:top w:val="none" w:sz="0" w:space="0" w:color="auto"/>
            <w:left w:val="none" w:sz="0" w:space="0" w:color="auto"/>
            <w:bottom w:val="none" w:sz="0" w:space="0" w:color="auto"/>
            <w:right w:val="none" w:sz="0" w:space="0" w:color="auto"/>
          </w:divBdr>
        </w:div>
        <w:div w:id="728378211">
          <w:marLeft w:val="0"/>
          <w:marRight w:val="0"/>
          <w:marTop w:val="280"/>
          <w:marBottom w:val="280"/>
          <w:divBdr>
            <w:top w:val="none" w:sz="0" w:space="0" w:color="auto"/>
            <w:left w:val="none" w:sz="0" w:space="0" w:color="auto"/>
            <w:bottom w:val="none" w:sz="0" w:space="0" w:color="auto"/>
            <w:right w:val="none" w:sz="0" w:space="0" w:color="auto"/>
          </w:divBdr>
        </w:div>
        <w:div w:id="2097895573">
          <w:marLeft w:val="0"/>
          <w:marRight w:val="0"/>
          <w:marTop w:val="280"/>
          <w:marBottom w:val="280"/>
          <w:divBdr>
            <w:top w:val="none" w:sz="0" w:space="0" w:color="auto"/>
            <w:left w:val="none" w:sz="0" w:space="0" w:color="auto"/>
            <w:bottom w:val="none" w:sz="0" w:space="0" w:color="auto"/>
            <w:right w:val="none" w:sz="0" w:space="0" w:color="auto"/>
          </w:divBdr>
        </w:div>
        <w:div w:id="2006740729">
          <w:marLeft w:val="0"/>
          <w:marRight w:val="0"/>
          <w:marTop w:val="280"/>
          <w:marBottom w:val="280"/>
          <w:divBdr>
            <w:top w:val="none" w:sz="0" w:space="0" w:color="auto"/>
            <w:left w:val="none" w:sz="0" w:space="0" w:color="auto"/>
            <w:bottom w:val="none" w:sz="0" w:space="0" w:color="auto"/>
            <w:right w:val="none" w:sz="0" w:space="0" w:color="auto"/>
          </w:divBdr>
        </w:div>
        <w:div w:id="1665355594">
          <w:marLeft w:val="0"/>
          <w:marRight w:val="0"/>
          <w:marTop w:val="280"/>
          <w:marBottom w:val="280"/>
          <w:divBdr>
            <w:top w:val="none" w:sz="0" w:space="0" w:color="auto"/>
            <w:left w:val="none" w:sz="0" w:space="0" w:color="auto"/>
            <w:bottom w:val="none" w:sz="0" w:space="0" w:color="auto"/>
            <w:right w:val="none" w:sz="0" w:space="0" w:color="auto"/>
          </w:divBdr>
        </w:div>
        <w:div w:id="1919367436">
          <w:marLeft w:val="0"/>
          <w:marRight w:val="0"/>
          <w:marTop w:val="280"/>
          <w:marBottom w:val="280"/>
          <w:divBdr>
            <w:top w:val="none" w:sz="0" w:space="0" w:color="auto"/>
            <w:left w:val="none" w:sz="0" w:space="0" w:color="auto"/>
            <w:bottom w:val="none" w:sz="0" w:space="0" w:color="auto"/>
            <w:right w:val="none" w:sz="0" w:space="0" w:color="auto"/>
          </w:divBdr>
        </w:div>
        <w:div w:id="747307307">
          <w:marLeft w:val="0"/>
          <w:marRight w:val="0"/>
          <w:marTop w:val="280"/>
          <w:marBottom w:val="280"/>
          <w:divBdr>
            <w:top w:val="none" w:sz="0" w:space="0" w:color="auto"/>
            <w:left w:val="none" w:sz="0" w:space="0" w:color="auto"/>
            <w:bottom w:val="none" w:sz="0" w:space="0" w:color="auto"/>
            <w:right w:val="none" w:sz="0" w:space="0" w:color="auto"/>
          </w:divBdr>
        </w:div>
        <w:div w:id="1148284711">
          <w:marLeft w:val="0"/>
          <w:marRight w:val="0"/>
          <w:marTop w:val="280"/>
          <w:marBottom w:val="280"/>
          <w:divBdr>
            <w:top w:val="none" w:sz="0" w:space="0" w:color="auto"/>
            <w:left w:val="none" w:sz="0" w:space="0" w:color="auto"/>
            <w:bottom w:val="none" w:sz="0" w:space="0" w:color="auto"/>
            <w:right w:val="none" w:sz="0" w:space="0" w:color="auto"/>
          </w:divBdr>
        </w:div>
      </w:divsChild>
    </w:div>
    <w:div w:id="1429152457">
      <w:bodyDiv w:val="1"/>
      <w:marLeft w:val="0"/>
      <w:marRight w:val="0"/>
      <w:marTop w:val="0"/>
      <w:marBottom w:val="0"/>
      <w:divBdr>
        <w:top w:val="none" w:sz="0" w:space="0" w:color="auto"/>
        <w:left w:val="none" w:sz="0" w:space="0" w:color="auto"/>
        <w:bottom w:val="none" w:sz="0" w:space="0" w:color="auto"/>
        <w:right w:val="none" w:sz="0" w:space="0" w:color="auto"/>
      </w:divBdr>
    </w:div>
    <w:div w:id="1447502961">
      <w:bodyDiv w:val="1"/>
      <w:marLeft w:val="0"/>
      <w:marRight w:val="0"/>
      <w:marTop w:val="0"/>
      <w:marBottom w:val="0"/>
      <w:divBdr>
        <w:top w:val="none" w:sz="0" w:space="0" w:color="auto"/>
        <w:left w:val="none" w:sz="0" w:space="0" w:color="auto"/>
        <w:bottom w:val="none" w:sz="0" w:space="0" w:color="auto"/>
        <w:right w:val="none" w:sz="0" w:space="0" w:color="auto"/>
      </w:divBdr>
    </w:div>
    <w:div w:id="1488204913">
      <w:bodyDiv w:val="1"/>
      <w:marLeft w:val="0"/>
      <w:marRight w:val="0"/>
      <w:marTop w:val="0"/>
      <w:marBottom w:val="0"/>
      <w:divBdr>
        <w:top w:val="none" w:sz="0" w:space="0" w:color="auto"/>
        <w:left w:val="none" w:sz="0" w:space="0" w:color="auto"/>
        <w:bottom w:val="none" w:sz="0" w:space="0" w:color="auto"/>
        <w:right w:val="none" w:sz="0" w:space="0" w:color="auto"/>
      </w:divBdr>
    </w:div>
    <w:div w:id="1511606908">
      <w:bodyDiv w:val="1"/>
      <w:marLeft w:val="0"/>
      <w:marRight w:val="0"/>
      <w:marTop w:val="0"/>
      <w:marBottom w:val="0"/>
      <w:divBdr>
        <w:top w:val="none" w:sz="0" w:space="0" w:color="auto"/>
        <w:left w:val="none" w:sz="0" w:space="0" w:color="auto"/>
        <w:bottom w:val="none" w:sz="0" w:space="0" w:color="auto"/>
        <w:right w:val="none" w:sz="0" w:space="0" w:color="auto"/>
      </w:divBdr>
    </w:div>
    <w:div w:id="1554924909">
      <w:bodyDiv w:val="1"/>
      <w:marLeft w:val="0"/>
      <w:marRight w:val="0"/>
      <w:marTop w:val="0"/>
      <w:marBottom w:val="0"/>
      <w:divBdr>
        <w:top w:val="none" w:sz="0" w:space="0" w:color="auto"/>
        <w:left w:val="none" w:sz="0" w:space="0" w:color="auto"/>
        <w:bottom w:val="none" w:sz="0" w:space="0" w:color="auto"/>
        <w:right w:val="none" w:sz="0" w:space="0" w:color="auto"/>
      </w:divBdr>
    </w:div>
    <w:div w:id="1573849623">
      <w:bodyDiv w:val="1"/>
      <w:marLeft w:val="0"/>
      <w:marRight w:val="0"/>
      <w:marTop w:val="0"/>
      <w:marBottom w:val="0"/>
      <w:divBdr>
        <w:top w:val="none" w:sz="0" w:space="0" w:color="auto"/>
        <w:left w:val="none" w:sz="0" w:space="0" w:color="auto"/>
        <w:bottom w:val="none" w:sz="0" w:space="0" w:color="auto"/>
        <w:right w:val="none" w:sz="0" w:space="0" w:color="auto"/>
      </w:divBdr>
    </w:div>
    <w:div w:id="1645768224">
      <w:bodyDiv w:val="1"/>
      <w:marLeft w:val="0"/>
      <w:marRight w:val="0"/>
      <w:marTop w:val="0"/>
      <w:marBottom w:val="0"/>
      <w:divBdr>
        <w:top w:val="none" w:sz="0" w:space="0" w:color="auto"/>
        <w:left w:val="none" w:sz="0" w:space="0" w:color="auto"/>
        <w:bottom w:val="none" w:sz="0" w:space="0" w:color="auto"/>
        <w:right w:val="none" w:sz="0" w:space="0" w:color="auto"/>
      </w:divBdr>
    </w:div>
    <w:div w:id="1754089147">
      <w:bodyDiv w:val="1"/>
      <w:marLeft w:val="0"/>
      <w:marRight w:val="0"/>
      <w:marTop w:val="0"/>
      <w:marBottom w:val="0"/>
      <w:divBdr>
        <w:top w:val="none" w:sz="0" w:space="0" w:color="auto"/>
        <w:left w:val="none" w:sz="0" w:space="0" w:color="auto"/>
        <w:bottom w:val="none" w:sz="0" w:space="0" w:color="auto"/>
        <w:right w:val="none" w:sz="0" w:space="0" w:color="auto"/>
      </w:divBdr>
    </w:div>
    <w:div w:id="1756778883">
      <w:bodyDiv w:val="1"/>
      <w:marLeft w:val="0"/>
      <w:marRight w:val="0"/>
      <w:marTop w:val="0"/>
      <w:marBottom w:val="0"/>
      <w:divBdr>
        <w:top w:val="none" w:sz="0" w:space="0" w:color="auto"/>
        <w:left w:val="none" w:sz="0" w:space="0" w:color="auto"/>
        <w:bottom w:val="none" w:sz="0" w:space="0" w:color="auto"/>
        <w:right w:val="none" w:sz="0" w:space="0" w:color="auto"/>
      </w:divBdr>
    </w:div>
    <w:div w:id="1757021878">
      <w:bodyDiv w:val="1"/>
      <w:marLeft w:val="0"/>
      <w:marRight w:val="0"/>
      <w:marTop w:val="0"/>
      <w:marBottom w:val="0"/>
      <w:divBdr>
        <w:top w:val="none" w:sz="0" w:space="0" w:color="auto"/>
        <w:left w:val="none" w:sz="0" w:space="0" w:color="auto"/>
        <w:bottom w:val="none" w:sz="0" w:space="0" w:color="auto"/>
        <w:right w:val="none" w:sz="0" w:space="0" w:color="auto"/>
      </w:divBdr>
    </w:div>
    <w:div w:id="1839690059">
      <w:bodyDiv w:val="1"/>
      <w:marLeft w:val="0"/>
      <w:marRight w:val="0"/>
      <w:marTop w:val="0"/>
      <w:marBottom w:val="0"/>
      <w:divBdr>
        <w:top w:val="none" w:sz="0" w:space="0" w:color="auto"/>
        <w:left w:val="none" w:sz="0" w:space="0" w:color="auto"/>
        <w:bottom w:val="none" w:sz="0" w:space="0" w:color="auto"/>
        <w:right w:val="none" w:sz="0" w:space="0" w:color="auto"/>
      </w:divBdr>
    </w:div>
    <w:div w:id="1847861126">
      <w:bodyDiv w:val="1"/>
      <w:marLeft w:val="0"/>
      <w:marRight w:val="0"/>
      <w:marTop w:val="0"/>
      <w:marBottom w:val="0"/>
      <w:divBdr>
        <w:top w:val="none" w:sz="0" w:space="0" w:color="auto"/>
        <w:left w:val="none" w:sz="0" w:space="0" w:color="auto"/>
        <w:bottom w:val="none" w:sz="0" w:space="0" w:color="auto"/>
        <w:right w:val="none" w:sz="0" w:space="0" w:color="auto"/>
      </w:divBdr>
    </w:div>
    <w:div w:id="1871145518">
      <w:bodyDiv w:val="1"/>
      <w:marLeft w:val="0"/>
      <w:marRight w:val="0"/>
      <w:marTop w:val="0"/>
      <w:marBottom w:val="0"/>
      <w:divBdr>
        <w:top w:val="none" w:sz="0" w:space="0" w:color="auto"/>
        <w:left w:val="none" w:sz="0" w:space="0" w:color="auto"/>
        <w:bottom w:val="none" w:sz="0" w:space="0" w:color="auto"/>
        <w:right w:val="none" w:sz="0" w:space="0" w:color="auto"/>
      </w:divBdr>
    </w:div>
    <w:div w:id="1896699361">
      <w:bodyDiv w:val="1"/>
      <w:marLeft w:val="0"/>
      <w:marRight w:val="0"/>
      <w:marTop w:val="0"/>
      <w:marBottom w:val="0"/>
      <w:divBdr>
        <w:top w:val="none" w:sz="0" w:space="0" w:color="auto"/>
        <w:left w:val="none" w:sz="0" w:space="0" w:color="auto"/>
        <w:bottom w:val="none" w:sz="0" w:space="0" w:color="auto"/>
        <w:right w:val="none" w:sz="0" w:space="0" w:color="auto"/>
      </w:divBdr>
    </w:div>
    <w:div w:id="1916276201">
      <w:bodyDiv w:val="1"/>
      <w:marLeft w:val="0"/>
      <w:marRight w:val="0"/>
      <w:marTop w:val="0"/>
      <w:marBottom w:val="0"/>
      <w:divBdr>
        <w:top w:val="none" w:sz="0" w:space="0" w:color="auto"/>
        <w:left w:val="none" w:sz="0" w:space="0" w:color="auto"/>
        <w:bottom w:val="none" w:sz="0" w:space="0" w:color="auto"/>
        <w:right w:val="none" w:sz="0" w:space="0" w:color="auto"/>
      </w:divBdr>
    </w:div>
    <w:div w:id="2013026585">
      <w:bodyDiv w:val="1"/>
      <w:marLeft w:val="0"/>
      <w:marRight w:val="0"/>
      <w:marTop w:val="0"/>
      <w:marBottom w:val="0"/>
      <w:divBdr>
        <w:top w:val="none" w:sz="0" w:space="0" w:color="auto"/>
        <w:left w:val="none" w:sz="0" w:space="0" w:color="auto"/>
        <w:bottom w:val="none" w:sz="0" w:space="0" w:color="auto"/>
        <w:right w:val="none" w:sz="0" w:space="0" w:color="auto"/>
      </w:divBdr>
    </w:div>
    <w:div w:id="2025742991">
      <w:bodyDiv w:val="1"/>
      <w:marLeft w:val="0"/>
      <w:marRight w:val="0"/>
      <w:marTop w:val="0"/>
      <w:marBottom w:val="0"/>
      <w:divBdr>
        <w:top w:val="none" w:sz="0" w:space="0" w:color="auto"/>
        <w:left w:val="none" w:sz="0" w:space="0" w:color="auto"/>
        <w:bottom w:val="none" w:sz="0" w:space="0" w:color="auto"/>
        <w:right w:val="none" w:sz="0" w:space="0" w:color="auto"/>
      </w:divBdr>
    </w:div>
    <w:div w:id="2068795931">
      <w:bodyDiv w:val="1"/>
      <w:marLeft w:val="0"/>
      <w:marRight w:val="0"/>
      <w:marTop w:val="0"/>
      <w:marBottom w:val="0"/>
      <w:divBdr>
        <w:top w:val="none" w:sz="0" w:space="0" w:color="auto"/>
        <w:left w:val="none" w:sz="0" w:space="0" w:color="auto"/>
        <w:bottom w:val="none" w:sz="0" w:space="0" w:color="auto"/>
        <w:right w:val="none" w:sz="0" w:space="0" w:color="auto"/>
      </w:divBdr>
    </w:div>
    <w:div w:id="2097171793">
      <w:bodyDiv w:val="1"/>
      <w:marLeft w:val="0"/>
      <w:marRight w:val="0"/>
      <w:marTop w:val="0"/>
      <w:marBottom w:val="0"/>
      <w:divBdr>
        <w:top w:val="none" w:sz="0" w:space="0" w:color="auto"/>
        <w:left w:val="none" w:sz="0" w:space="0" w:color="auto"/>
        <w:bottom w:val="none" w:sz="0" w:space="0" w:color="auto"/>
        <w:right w:val="none" w:sz="0" w:space="0" w:color="auto"/>
      </w:divBdr>
    </w:div>
    <w:div w:id="2109615081">
      <w:bodyDiv w:val="1"/>
      <w:marLeft w:val="0"/>
      <w:marRight w:val="0"/>
      <w:marTop w:val="0"/>
      <w:marBottom w:val="0"/>
      <w:divBdr>
        <w:top w:val="none" w:sz="0" w:space="0" w:color="auto"/>
        <w:left w:val="none" w:sz="0" w:space="0" w:color="auto"/>
        <w:bottom w:val="none" w:sz="0" w:space="0" w:color="auto"/>
        <w:right w:val="none" w:sz="0" w:space="0" w:color="auto"/>
      </w:divBdr>
    </w:div>
    <w:div w:id="212160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BC82B-8775-4F9C-BB09-B7DCD9641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2597</Words>
  <Characters>14026</Characters>
  <Application>Microsoft Office Word</Application>
  <DocSecurity>0</DocSecurity>
  <Lines>116</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SUSEP</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robertoss</dc:creator>
  <cp:lastModifiedBy>Carlos Eduardo Cunha</cp:lastModifiedBy>
  <cp:revision>2</cp:revision>
  <cp:lastPrinted>2016-05-19T13:03:00Z</cp:lastPrinted>
  <dcterms:created xsi:type="dcterms:W3CDTF">2020-10-13T18:24:00Z</dcterms:created>
  <dcterms:modified xsi:type="dcterms:W3CDTF">2020-10-13T18:24:00Z</dcterms:modified>
</cp:coreProperties>
</file>