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079" w:rsidRPr="00532E92" w:rsidRDefault="00532E92" w:rsidP="00ED1079">
      <w:pPr>
        <w:rPr>
          <w:rFonts w:ascii="Times New Roman" w:hAnsi="Times New Roman"/>
          <w:b/>
          <w:sz w:val="23"/>
          <w:szCs w:val="23"/>
          <w:u w:val="single"/>
        </w:rPr>
      </w:pPr>
      <w:r w:rsidRPr="00532E92">
        <w:rPr>
          <w:rFonts w:ascii="Times New Roman" w:hAnsi="Times New Roman"/>
          <w:b/>
          <w:sz w:val="23"/>
          <w:szCs w:val="23"/>
          <w:u w:val="single"/>
        </w:rPr>
        <w:t>Requisitos Relativos aos Regulamentos do</w:t>
      </w:r>
      <w:r w:rsidR="00CD727B">
        <w:rPr>
          <w:rFonts w:ascii="Times New Roman" w:hAnsi="Times New Roman"/>
          <w:b/>
          <w:sz w:val="23"/>
          <w:szCs w:val="23"/>
          <w:u w:val="single"/>
        </w:rPr>
        <w:t xml:space="preserve"> </w:t>
      </w:r>
      <w:r w:rsidRPr="00532E92">
        <w:rPr>
          <w:rFonts w:ascii="Times New Roman" w:hAnsi="Times New Roman"/>
          <w:b/>
          <w:sz w:val="23"/>
          <w:szCs w:val="23"/>
          <w:u w:val="single"/>
        </w:rPr>
        <w:t>s Fundos Especialmente Constituídos (</w:t>
      </w:r>
      <w:proofErr w:type="spellStart"/>
      <w:proofErr w:type="gramStart"/>
      <w:r w:rsidRPr="00532E92">
        <w:rPr>
          <w:rFonts w:ascii="Times New Roman" w:hAnsi="Times New Roman"/>
          <w:b/>
          <w:sz w:val="23"/>
          <w:szCs w:val="23"/>
          <w:u w:val="single"/>
        </w:rPr>
        <w:t>FIEs</w:t>
      </w:r>
      <w:proofErr w:type="spellEnd"/>
      <w:proofErr w:type="gramEnd"/>
      <w:r w:rsidRPr="00532E92">
        <w:rPr>
          <w:rFonts w:ascii="Times New Roman" w:hAnsi="Times New Roman"/>
          <w:b/>
          <w:sz w:val="23"/>
          <w:szCs w:val="23"/>
          <w:u w:val="single"/>
        </w:rPr>
        <w:t>)</w:t>
      </w:r>
    </w:p>
    <w:p w:rsidR="00532E92" w:rsidRDefault="00532E92" w:rsidP="00ED1079">
      <w:pPr>
        <w:rPr>
          <w:rFonts w:ascii="Times New Roman" w:hAnsi="Times New Roman"/>
          <w:sz w:val="23"/>
          <w:szCs w:val="23"/>
        </w:rPr>
      </w:pPr>
    </w:p>
    <w:p w:rsidR="00532E92" w:rsidRPr="00E26C00" w:rsidRDefault="00532E92" w:rsidP="00E26C00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3"/>
          <w:szCs w:val="23"/>
        </w:rPr>
      </w:pPr>
      <w:r w:rsidRPr="00E26C00">
        <w:rPr>
          <w:rFonts w:ascii="Times New Roman" w:hAnsi="Times New Roman"/>
          <w:b/>
          <w:sz w:val="23"/>
          <w:szCs w:val="23"/>
        </w:rPr>
        <w:t>Definição de FIE:</w:t>
      </w:r>
    </w:p>
    <w:p w:rsidR="00532E92" w:rsidRDefault="00532E92" w:rsidP="001C2576">
      <w:pPr>
        <w:rPr>
          <w:rFonts w:ascii="Times New Roman" w:hAnsi="Times New Roman"/>
          <w:sz w:val="23"/>
          <w:szCs w:val="23"/>
        </w:rPr>
      </w:pPr>
    </w:p>
    <w:p w:rsidR="00532E92" w:rsidRPr="00E26C00" w:rsidRDefault="00532E92" w:rsidP="00E26C00">
      <w:pPr>
        <w:ind w:left="709"/>
        <w:rPr>
          <w:rFonts w:ascii="Times New Roman" w:hAnsi="Times New Roman"/>
          <w:sz w:val="23"/>
          <w:szCs w:val="23"/>
        </w:rPr>
      </w:pPr>
      <w:r w:rsidRPr="00E26C00">
        <w:rPr>
          <w:rFonts w:ascii="Times New Roman" w:hAnsi="Times New Roman"/>
          <w:sz w:val="23"/>
          <w:szCs w:val="23"/>
        </w:rPr>
        <w:t xml:space="preserve">Artigo 3º, </w:t>
      </w:r>
      <w:proofErr w:type="spellStart"/>
      <w:r w:rsidRPr="00E26C00">
        <w:rPr>
          <w:rFonts w:ascii="Times New Roman" w:hAnsi="Times New Roman"/>
          <w:sz w:val="23"/>
          <w:szCs w:val="23"/>
        </w:rPr>
        <w:t>Res</w:t>
      </w:r>
      <w:proofErr w:type="spellEnd"/>
      <w:r w:rsidRPr="00E26C00">
        <w:rPr>
          <w:rFonts w:ascii="Times New Roman" w:hAnsi="Times New Roman"/>
          <w:sz w:val="23"/>
          <w:szCs w:val="23"/>
        </w:rPr>
        <w:t xml:space="preserve"> CNSP nº 226/10.</w:t>
      </w:r>
    </w:p>
    <w:p w:rsidR="00E26C00" w:rsidRDefault="00E26C00" w:rsidP="00E26C00">
      <w:pPr>
        <w:ind w:left="709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“(...)</w:t>
      </w:r>
    </w:p>
    <w:p w:rsidR="00532E92" w:rsidRPr="00E26C00" w:rsidRDefault="00532E92" w:rsidP="00E26C00">
      <w:pPr>
        <w:ind w:left="709"/>
        <w:rPr>
          <w:rFonts w:ascii="Times New Roman" w:hAnsi="Times New Roman"/>
          <w:i/>
          <w:sz w:val="23"/>
          <w:szCs w:val="23"/>
        </w:rPr>
      </w:pPr>
      <w:proofErr w:type="gramEnd"/>
      <w:r w:rsidRPr="00E26C00">
        <w:rPr>
          <w:rFonts w:ascii="Times New Roman" w:hAnsi="Times New Roman"/>
          <w:i/>
          <w:sz w:val="23"/>
          <w:szCs w:val="23"/>
        </w:rPr>
        <w:t>VI - FIE: fundo de investimentos ou fundo de investimentos em cotas de fundos de</w:t>
      </w:r>
      <w:r w:rsidR="00E26C00" w:rsidRPr="00E26C00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investimentos constituído especificamente para a recepção, direta ou indireta, dos</w:t>
      </w:r>
      <w:r w:rsidR="00E26C00" w:rsidRPr="00E26C00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recursos provenientes de sociedades supervisionadas;</w:t>
      </w:r>
    </w:p>
    <w:p w:rsidR="00E26C00" w:rsidRDefault="00E26C00" w:rsidP="00E26C00">
      <w:pPr>
        <w:ind w:left="709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(</w:t>
      </w:r>
      <w:proofErr w:type="gramStart"/>
      <w:r>
        <w:rPr>
          <w:rFonts w:ascii="Times New Roman" w:hAnsi="Times New Roman"/>
          <w:sz w:val="23"/>
          <w:szCs w:val="23"/>
        </w:rPr>
        <w:t>...)”</w:t>
      </w:r>
      <w:proofErr w:type="gramEnd"/>
    </w:p>
    <w:p w:rsidR="00E26C00" w:rsidRDefault="00E26C00" w:rsidP="001C2576">
      <w:pPr>
        <w:rPr>
          <w:rFonts w:ascii="Times New Roman" w:hAnsi="Times New Roman"/>
          <w:sz w:val="23"/>
          <w:szCs w:val="23"/>
        </w:rPr>
      </w:pPr>
    </w:p>
    <w:p w:rsidR="008A7A96" w:rsidRPr="00E26C00" w:rsidRDefault="00D82B69" w:rsidP="008A7A96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Tipos</w:t>
      </w:r>
      <w:r w:rsidR="008A7A96" w:rsidRPr="00E26C00">
        <w:rPr>
          <w:rFonts w:ascii="Times New Roman" w:hAnsi="Times New Roman"/>
          <w:b/>
          <w:sz w:val="23"/>
          <w:szCs w:val="23"/>
        </w:rPr>
        <w:t xml:space="preserve"> de FIE:</w:t>
      </w:r>
    </w:p>
    <w:p w:rsidR="008A7A96" w:rsidRDefault="008A7A96" w:rsidP="001C2576">
      <w:pPr>
        <w:rPr>
          <w:rFonts w:ascii="Times New Roman" w:hAnsi="Times New Roman"/>
          <w:sz w:val="23"/>
          <w:szCs w:val="23"/>
        </w:rPr>
      </w:pPr>
    </w:p>
    <w:p w:rsidR="00D82B69" w:rsidRDefault="00D82B69" w:rsidP="008A7A96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Atualmente estão previstos dois tipos de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FIEs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: </w:t>
      </w:r>
    </w:p>
    <w:p w:rsidR="00633D54" w:rsidRDefault="00633D54" w:rsidP="008A7A96">
      <w:pPr>
        <w:jc w:val="both"/>
        <w:rPr>
          <w:rFonts w:ascii="Times New Roman" w:hAnsi="Times New Roman"/>
          <w:sz w:val="23"/>
          <w:szCs w:val="23"/>
        </w:rPr>
      </w:pPr>
    </w:p>
    <w:p w:rsidR="008A7A96" w:rsidRDefault="00D82B69" w:rsidP="00D82B6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 w:rsidRPr="00D82B69">
        <w:rPr>
          <w:rFonts w:ascii="Times New Roman" w:hAnsi="Times New Roman"/>
          <w:sz w:val="23"/>
          <w:szCs w:val="23"/>
        </w:rPr>
        <w:t>“</w:t>
      </w:r>
      <w:r w:rsidRPr="00D82B69">
        <w:rPr>
          <w:rFonts w:ascii="Times New Roman" w:hAnsi="Times New Roman"/>
          <w:i/>
          <w:sz w:val="23"/>
          <w:szCs w:val="23"/>
        </w:rPr>
        <w:t>Títulos Públicos</w:t>
      </w:r>
      <w:r w:rsidRPr="00D82B69">
        <w:rPr>
          <w:rFonts w:ascii="Times New Roman" w:hAnsi="Times New Roman"/>
          <w:sz w:val="23"/>
          <w:szCs w:val="23"/>
        </w:rPr>
        <w:t xml:space="preserve">”, definido na alínea </w:t>
      </w:r>
      <w:r w:rsidRPr="00D82B69">
        <w:rPr>
          <w:rFonts w:ascii="Times New Roman" w:hAnsi="Times New Roman"/>
          <w:i/>
          <w:sz w:val="23"/>
          <w:szCs w:val="23"/>
        </w:rPr>
        <w:t>e</w:t>
      </w:r>
      <w:r w:rsidRPr="00D82B69">
        <w:rPr>
          <w:rFonts w:ascii="Times New Roman" w:hAnsi="Times New Roman"/>
          <w:sz w:val="23"/>
          <w:szCs w:val="23"/>
        </w:rPr>
        <w:t xml:space="preserve"> do Inciso I, artigo 4º do Regulamento Anexo à Resolução CMN nº 3.308/05</w:t>
      </w:r>
      <w:r>
        <w:rPr>
          <w:rFonts w:ascii="Times New Roman" w:hAnsi="Times New Roman"/>
          <w:sz w:val="23"/>
          <w:szCs w:val="23"/>
        </w:rPr>
        <w:t>;</w:t>
      </w:r>
    </w:p>
    <w:p w:rsidR="00633D54" w:rsidRDefault="00633D54" w:rsidP="00633D54">
      <w:pPr>
        <w:pStyle w:val="PargrafodaLista"/>
        <w:jc w:val="both"/>
        <w:rPr>
          <w:rFonts w:ascii="Times New Roman" w:hAnsi="Times New Roman"/>
          <w:sz w:val="23"/>
          <w:szCs w:val="23"/>
        </w:rPr>
      </w:pPr>
    </w:p>
    <w:p w:rsidR="00D82B69" w:rsidRPr="00D82B69" w:rsidRDefault="00D82B69" w:rsidP="00D82B69">
      <w:pPr>
        <w:pStyle w:val="PargrafodaLista"/>
        <w:numPr>
          <w:ilvl w:val="0"/>
          <w:numId w:val="2"/>
        </w:num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“</w:t>
      </w:r>
      <w:r w:rsidRPr="00D82B69">
        <w:rPr>
          <w:rFonts w:ascii="Times New Roman" w:hAnsi="Times New Roman"/>
          <w:i/>
          <w:sz w:val="23"/>
          <w:szCs w:val="23"/>
        </w:rPr>
        <w:t>Previdenciários</w:t>
      </w:r>
      <w:r>
        <w:rPr>
          <w:rFonts w:ascii="Times New Roman" w:hAnsi="Times New Roman"/>
          <w:sz w:val="23"/>
          <w:szCs w:val="23"/>
        </w:rPr>
        <w:t>”, definidos nos artigos 5º</w:t>
      </w:r>
      <w:r w:rsidR="00633D54">
        <w:rPr>
          <w:rFonts w:ascii="Times New Roman" w:hAnsi="Times New Roman"/>
          <w:sz w:val="23"/>
          <w:szCs w:val="23"/>
        </w:rPr>
        <w:t xml:space="preserve"> a</w:t>
      </w:r>
      <w:r>
        <w:rPr>
          <w:rFonts w:ascii="Times New Roman" w:hAnsi="Times New Roman"/>
          <w:sz w:val="23"/>
          <w:szCs w:val="23"/>
        </w:rPr>
        <w:t xml:space="preserve"> 7º</w:t>
      </w:r>
      <w:r w:rsidRPr="00D82B69">
        <w:rPr>
          <w:rFonts w:ascii="Times New Roman" w:hAnsi="Times New Roman"/>
          <w:sz w:val="23"/>
          <w:szCs w:val="23"/>
        </w:rPr>
        <w:t xml:space="preserve"> do Regulamento Anexo à Resolução CMN nº 3.308/05</w:t>
      </w:r>
      <w:r>
        <w:rPr>
          <w:rFonts w:ascii="Times New Roman" w:hAnsi="Times New Roman"/>
          <w:sz w:val="23"/>
          <w:szCs w:val="23"/>
        </w:rPr>
        <w:t>.</w:t>
      </w:r>
    </w:p>
    <w:p w:rsidR="008A7A96" w:rsidRDefault="008A7A96" w:rsidP="001C2576">
      <w:pPr>
        <w:rPr>
          <w:rFonts w:ascii="Times New Roman" w:hAnsi="Times New Roman"/>
          <w:sz w:val="23"/>
          <w:szCs w:val="23"/>
        </w:rPr>
      </w:pPr>
    </w:p>
    <w:p w:rsidR="00532E92" w:rsidRDefault="00532E92" w:rsidP="001C2576">
      <w:pPr>
        <w:rPr>
          <w:rFonts w:ascii="Times New Roman" w:hAnsi="Times New Roman"/>
          <w:sz w:val="23"/>
          <w:szCs w:val="23"/>
        </w:rPr>
      </w:pPr>
    </w:p>
    <w:p w:rsidR="00E26C00" w:rsidRPr="00E26C00" w:rsidRDefault="00E26C00" w:rsidP="00E26C00">
      <w:pPr>
        <w:pStyle w:val="PargrafodaLista"/>
        <w:numPr>
          <w:ilvl w:val="0"/>
          <w:numId w:val="1"/>
        </w:numPr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Elementos Obrigatórios nos Regulamentos dos </w:t>
      </w:r>
      <w:proofErr w:type="spellStart"/>
      <w:proofErr w:type="gramStart"/>
      <w:r>
        <w:rPr>
          <w:rFonts w:ascii="Times New Roman" w:hAnsi="Times New Roman"/>
          <w:b/>
          <w:sz w:val="23"/>
          <w:szCs w:val="23"/>
        </w:rPr>
        <w:t>FIEs</w:t>
      </w:r>
      <w:proofErr w:type="spellEnd"/>
      <w:proofErr w:type="gramEnd"/>
      <w:r w:rsidRPr="00E26C00">
        <w:rPr>
          <w:rFonts w:ascii="Times New Roman" w:hAnsi="Times New Roman"/>
          <w:b/>
          <w:sz w:val="23"/>
          <w:szCs w:val="23"/>
        </w:rPr>
        <w:t>:</w:t>
      </w:r>
    </w:p>
    <w:p w:rsidR="00E26C00" w:rsidRDefault="00E26C00" w:rsidP="00E26C00">
      <w:pPr>
        <w:jc w:val="both"/>
        <w:rPr>
          <w:rFonts w:ascii="Times New Roman" w:hAnsi="Times New Roman"/>
          <w:sz w:val="23"/>
          <w:szCs w:val="23"/>
        </w:rPr>
      </w:pPr>
    </w:p>
    <w:p w:rsidR="008A7A96" w:rsidRDefault="008A7A96" w:rsidP="008A7A96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Dada </w:t>
      </w:r>
      <w:proofErr w:type="gramStart"/>
      <w:r>
        <w:rPr>
          <w:rFonts w:ascii="Times New Roman" w:hAnsi="Times New Roman"/>
          <w:sz w:val="23"/>
          <w:szCs w:val="23"/>
        </w:rPr>
        <w:t>a</w:t>
      </w:r>
      <w:proofErr w:type="gramEnd"/>
      <w:r>
        <w:rPr>
          <w:rFonts w:ascii="Times New Roman" w:hAnsi="Times New Roman"/>
          <w:sz w:val="23"/>
          <w:szCs w:val="23"/>
        </w:rPr>
        <w:t xml:space="preserve"> definição de FIE, os regulamentos destes fundos devem restringir seu público alvo a supervisionados da Susep, ou seja, Sociedades Seguradoras, </w:t>
      </w:r>
      <w:proofErr w:type="spellStart"/>
      <w:r>
        <w:rPr>
          <w:rFonts w:ascii="Times New Roman" w:hAnsi="Times New Roman"/>
          <w:sz w:val="23"/>
          <w:szCs w:val="23"/>
        </w:rPr>
        <w:t>Resseguradoras</w:t>
      </w:r>
      <w:proofErr w:type="spellEnd"/>
      <w:r>
        <w:rPr>
          <w:rFonts w:ascii="Times New Roman" w:hAnsi="Times New Roman"/>
          <w:sz w:val="23"/>
          <w:szCs w:val="23"/>
        </w:rPr>
        <w:t>, de Capitalização ou Entidades Abertas de Previdência Complementar.</w:t>
      </w:r>
    </w:p>
    <w:p w:rsidR="008A7A96" w:rsidRDefault="008A7A96" w:rsidP="00E26C00">
      <w:pPr>
        <w:jc w:val="both"/>
        <w:rPr>
          <w:rFonts w:ascii="Times New Roman" w:hAnsi="Times New Roman"/>
          <w:sz w:val="23"/>
          <w:szCs w:val="23"/>
        </w:rPr>
      </w:pPr>
    </w:p>
    <w:p w:rsidR="00E26C00" w:rsidRDefault="008A7A96" w:rsidP="00E26C00">
      <w:pPr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Além disso, o</w:t>
      </w:r>
      <w:r w:rsidR="00E26C00">
        <w:rPr>
          <w:rFonts w:ascii="Times New Roman" w:hAnsi="Times New Roman"/>
          <w:sz w:val="23"/>
          <w:szCs w:val="23"/>
        </w:rPr>
        <w:t xml:space="preserve">s normativos atualmente em vigor, notadamente a </w:t>
      </w:r>
      <w:proofErr w:type="spellStart"/>
      <w:r w:rsidR="00E26C00">
        <w:rPr>
          <w:rFonts w:ascii="Times New Roman" w:hAnsi="Times New Roman"/>
          <w:sz w:val="23"/>
          <w:szCs w:val="23"/>
        </w:rPr>
        <w:t>Res</w:t>
      </w:r>
      <w:proofErr w:type="spellEnd"/>
      <w:r w:rsidR="00E26C00">
        <w:rPr>
          <w:rFonts w:ascii="Times New Roman" w:hAnsi="Times New Roman"/>
          <w:sz w:val="23"/>
          <w:szCs w:val="23"/>
        </w:rPr>
        <w:t xml:space="preserve"> CNSP nº 226/10 e as Circulares Susep nº 338 e 339/07</w:t>
      </w:r>
      <w:r>
        <w:rPr>
          <w:rFonts w:ascii="Times New Roman" w:hAnsi="Times New Roman"/>
          <w:sz w:val="23"/>
          <w:szCs w:val="23"/>
        </w:rPr>
        <w:t xml:space="preserve">, estabelecem uma série de elementos obrigatórios aos regulamentos dos </w:t>
      </w:r>
      <w:proofErr w:type="spellStart"/>
      <w:proofErr w:type="gramStart"/>
      <w:r>
        <w:rPr>
          <w:rFonts w:ascii="Times New Roman" w:hAnsi="Times New Roman"/>
          <w:sz w:val="23"/>
          <w:szCs w:val="23"/>
        </w:rPr>
        <w:t>FIEs</w:t>
      </w:r>
      <w:proofErr w:type="spellEnd"/>
      <w:proofErr w:type="gramEnd"/>
      <w:r w:rsidR="00E26C00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 xml:space="preserve"> Estão transcritos abaixo os trechos destes normativos referentes a es</w:t>
      </w:r>
      <w:r w:rsidR="00681170"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a matéria.</w:t>
      </w:r>
    </w:p>
    <w:p w:rsidR="00E26C00" w:rsidRPr="00532E92" w:rsidRDefault="00E26C00" w:rsidP="00E26C00">
      <w:pPr>
        <w:jc w:val="both"/>
        <w:rPr>
          <w:rFonts w:ascii="Times New Roman" w:hAnsi="Times New Roman"/>
          <w:sz w:val="23"/>
          <w:szCs w:val="23"/>
        </w:rPr>
      </w:pPr>
    </w:p>
    <w:p w:rsidR="00532E92" w:rsidRPr="00B136B4" w:rsidRDefault="00B95D2F" w:rsidP="00B95D2F">
      <w:pPr>
        <w:numPr>
          <w:ilvl w:val="0"/>
          <w:numId w:val="3"/>
        </w:numPr>
        <w:rPr>
          <w:rFonts w:ascii="Times New Roman" w:hAnsi="Times New Roman"/>
          <w:b/>
          <w:sz w:val="23"/>
          <w:szCs w:val="23"/>
        </w:rPr>
      </w:pPr>
      <w:r w:rsidRPr="00B136B4">
        <w:rPr>
          <w:rFonts w:ascii="Times New Roman" w:hAnsi="Times New Roman"/>
          <w:b/>
          <w:sz w:val="23"/>
          <w:szCs w:val="23"/>
        </w:rPr>
        <w:t>Para os “</w:t>
      </w:r>
      <w:proofErr w:type="spellStart"/>
      <w:r w:rsidRPr="00B136B4">
        <w:rPr>
          <w:rFonts w:ascii="Times New Roman" w:hAnsi="Times New Roman"/>
          <w:b/>
          <w:sz w:val="23"/>
          <w:szCs w:val="23"/>
        </w:rPr>
        <w:t>FIE’s</w:t>
      </w:r>
      <w:proofErr w:type="spellEnd"/>
      <w:r w:rsidRPr="00B136B4">
        <w:rPr>
          <w:rFonts w:ascii="Times New Roman" w:hAnsi="Times New Roman"/>
          <w:b/>
          <w:sz w:val="23"/>
          <w:szCs w:val="23"/>
        </w:rPr>
        <w:t xml:space="preserve"> previdenciários”:</w:t>
      </w:r>
    </w:p>
    <w:p w:rsidR="00B95D2F" w:rsidRDefault="00B95D2F" w:rsidP="001C2576">
      <w:pPr>
        <w:rPr>
          <w:rFonts w:ascii="Times New Roman" w:hAnsi="Times New Roman"/>
          <w:b/>
          <w:sz w:val="23"/>
          <w:szCs w:val="23"/>
        </w:rPr>
      </w:pPr>
    </w:p>
    <w:p w:rsidR="001C2576" w:rsidRPr="00B136B4" w:rsidRDefault="001C2576" w:rsidP="00852CE2">
      <w:pPr>
        <w:ind w:left="709"/>
        <w:jc w:val="both"/>
        <w:rPr>
          <w:rFonts w:ascii="Times New Roman" w:hAnsi="Times New Roman"/>
          <w:sz w:val="23"/>
          <w:szCs w:val="23"/>
        </w:rPr>
      </w:pPr>
      <w:r w:rsidRPr="00B136B4">
        <w:rPr>
          <w:rFonts w:ascii="Times New Roman" w:hAnsi="Times New Roman"/>
          <w:sz w:val="23"/>
          <w:szCs w:val="23"/>
        </w:rPr>
        <w:t xml:space="preserve">Artigo 79, </w:t>
      </w:r>
      <w:proofErr w:type="spellStart"/>
      <w:r w:rsidRPr="00B136B4">
        <w:rPr>
          <w:rFonts w:ascii="Times New Roman" w:hAnsi="Times New Roman"/>
          <w:sz w:val="23"/>
          <w:szCs w:val="23"/>
        </w:rPr>
        <w:t>Circ</w:t>
      </w:r>
      <w:proofErr w:type="spellEnd"/>
      <w:r w:rsidRPr="00B136B4">
        <w:rPr>
          <w:rFonts w:ascii="Times New Roman" w:hAnsi="Times New Roman"/>
          <w:sz w:val="23"/>
          <w:szCs w:val="23"/>
        </w:rPr>
        <w:t xml:space="preserve"> Susep 338</w:t>
      </w:r>
      <w:r w:rsidR="00532E92" w:rsidRPr="00B136B4">
        <w:rPr>
          <w:rFonts w:ascii="Times New Roman" w:hAnsi="Times New Roman"/>
          <w:sz w:val="23"/>
          <w:szCs w:val="23"/>
        </w:rPr>
        <w:t>.</w:t>
      </w:r>
      <w:r w:rsidRPr="00B136B4">
        <w:rPr>
          <w:rFonts w:ascii="Times New Roman" w:hAnsi="Times New Roman"/>
          <w:sz w:val="23"/>
          <w:szCs w:val="23"/>
        </w:rPr>
        <w:t xml:space="preserve"> (</w:t>
      </w:r>
      <w:r w:rsidR="00042677" w:rsidRPr="00B136B4">
        <w:rPr>
          <w:rFonts w:ascii="Times New Roman" w:hAnsi="Times New Roman"/>
          <w:sz w:val="23"/>
          <w:szCs w:val="23"/>
        </w:rPr>
        <w:t>O a</w:t>
      </w:r>
      <w:r w:rsidR="00532E92" w:rsidRPr="00B136B4">
        <w:rPr>
          <w:rFonts w:ascii="Times New Roman" w:hAnsi="Times New Roman"/>
          <w:sz w:val="23"/>
          <w:szCs w:val="23"/>
        </w:rPr>
        <w:t xml:space="preserve">rtigo79, </w:t>
      </w:r>
      <w:proofErr w:type="spellStart"/>
      <w:r w:rsidR="00532E92" w:rsidRPr="00B136B4">
        <w:rPr>
          <w:rFonts w:ascii="Times New Roman" w:hAnsi="Times New Roman"/>
          <w:sz w:val="23"/>
          <w:szCs w:val="23"/>
        </w:rPr>
        <w:t>Circ</w:t>
      </w:r>
      <w:proofErr w:type="spellEnd"/>
      <w:r w:rsidRPr="00B136B4">
        <w:rPr>
          <w:rFonts w:ascii="Times New Roman" w:hAnsi="Times New Roman"/>
          <w:sz w:val="23"/>
          <w:szCs w:val="23"/>
        </w:rPr>
        <w:t xml:space="preserve"> </w:t>
      </w:r>
      <w:r w:rsidR="00532E92" w:rsidRPr="00B136B4">
        <w:rPr>
          <w:rFonts w:ascii="Times New Roman" w:hAnsi="Times New Roman"/>
          <w:sz w:val="23"/>
          <w:szCs w:val="23"/>
        </w:rPr>
        <w:t xml:space="preserve">Susep </w:t>
      </w:r>
      <w:r w:rsidRPr="00B136B4">
        <w:rPr>
          <w:rFonts w:ascii="Times New Roman" w:hAnsi="Times New Roman"/>
          <w:sz w:val="23"/>
          <w:szCs w:val="23"/>
        </w:rPr>
        <w:t>339</w:t>
      </w:r>
      <w:r w:rsidR="00A42E12" w:rsidRPr="00B136B4">
        <w:rPr>
          <w:rFonts w:ascii="Times New Roman" w:hAnsi="Times New Roman"/>
          <w:sz w:val="23"/>
          <w:szCs w:val="23"/>
        </w:rPr>
        <w:t xml:space="preserve">, </w:t>
      </w:r>
      <w:r w:rsidR="00042677" w:rsidRPr="00B136B4">
        <w:rPr>
          <w:rFonts w:ascii="Times New Roman" w:hAnsi="Times New Roman"/>
          <w:sz w:val="23"/>
          <w:szCs w:val="23"/>
        </w:rPr>
        <w:t>possui redação análoga destinada a Sociedades Seguradoras</w:t>
      </w:r>
      <w:r w:rsidR="00852CE2" w:rsidRPr="00B136B4">
        <w:rPr>
          <w:rFonts w:ascii="Times New Roman" w:hAnsi="Times New Roman"/>
          <w:sz w:val="23"/>
          <w:szCs w:val="23"/>
        </w:rPr>
        <w:t>,</w:t>
      </w:r>
      <w:r w:rsidR="00042677" w:rsidRPr="00B136B4">
        <w:rPr>
          <w:rFonts w:ascii="Times New Roman" w:hAnsi="Times New Roman"/>
          <w:sz w:val="23"/>
          <w:szCs w:val="23"/>
        </w:rPr>
        <w:t xml:space="preserve"> </w:t>
      </w:r>
      <w:r w:rsidR="00852CE2" w:rsidRPr="00B136B4">
        <w:rPr>
          <w:rFonts w:ascii="Times New Roman" w:hAnsi="Times New Roman"/>
          <w:sz w:val="23"/>
          <w:szCs w:val="23"/>
        </w:rPr>
        <w:t xml:space="preserve">nos casos de </w:t>
      </w:r>
      <w:proofErr w:type="spellStart"/>
      <w:r w:rsidR="00852CE2" w:rsidRPr="00B136B4">
        <w:rPr>
          <w:rFonts w:ascii="Times New Roman" w:hAnsi="Times New Roman"/>
          <w:sz w:val="23"/>
          <w:szCs w:val="23"/>
        </w:rPr>
        <w:t>FIE´s</w:t>
      </w:r>
      <w:proofErr w:type="spellEnd"/>
      <w:r w:rsidR="00852CE2" w:rsidRPr="00B136B4">
        <w:rPr>
          <w:rFonts w:ascii="Times New Roman" w:hAnsi="Times New Roman"/>
          <w:sz w:val="23"/>
          <w:szCs w:val="23"/>
        </w:rPr>
        <w:t xml:space="preserve"> vinculados a planos de seguro de pessoas com </w:t>
      </w:r>
      <w:r w:rsidR="00042677" w:rsidRPr="00B136B4">
        <w:rPr>
          <w:rFonts w:ascii="Times New Roman" w:hAnsi="Times New Roman"/>
          <w:sz w:val="23"/>
          <w:szCs w:val="23"/>
        </w:rPr>
        <w:t>cobertura por sobreviv</w:t>
      </w:r>
      <w:r w:rsidR="00852CE2" w:rsidRPr="00B136B4">
        <w:rPr>
          <w:rFonts w:ascii="Times New Roman" w:hAnsi="Times New Roman"/>
          <w:sz w:val="23"/>
          <w:szCs w:val="23"/>
        </w:rPr>
        <w:t>ê</w:t>
      </w:r>
      <w:r w:rsidR="00042677" w:rsidRPr="00B136B4">
        <w:rPr>
          <w:rFonts w:ascii="Times New Roman" w:hAnsi="Times New Roman"/>
          <w:sz w:val="23"/>
          <w:szCs w:val="23"/>
        </w:rPr>
        <w:t>ncia</w:t>
      </w:r>
      <w:r w:rsidRPr="00B136B4">
        <w:rPr>
          <w:rFonts w:ascii="Times New Roman" w:hAnsi="Times New Roman"/>
          <w:sz w:val="23"/>
          <w:szCs w:val="23"/>
        </w:rPr>
        <w:t>).</w:t>
      </w:r>
    </w:p>
    <w:p w:rsidR="001C2576" w:rsidRDefault="001C2576" w:rsidP="00845512">
      <w:pPr>
        <w:rPr>
          <w:rFonts w:ascii="Times New Roman" w:hAnsi="Times New Roman"/>
          <w:sz w:val="23"/>
          <w:szCs w:val="23"/>
        </w:rPr>
      </w:pPr>
    </w:p>
    <w:p w:rsidR="00845512" w:rsidRPr="00E26C00" w:rsidRDefault="00E26C00" w:rsidP="008A7A96">
      <w:pPr>
        <w:autoSpaceDE w:val="0"/>
        <w:autoSpaceDN w:val="0"/>
        <w:adjustRightInd w:val="0"/>
        <w:ind w:left="709"/>
        <w:jc w:val="both"/>
        <w:rPr>
          <w:i/>
        </w:rPr>
      </w:pPr>
      <w:proofErr w:type="gramStart"/>
      <w:r>
        <w:rPr>
          <w:rFonts w:ascii="Times New Roman" w:hAnsi="Times New Roman"/>
          <w:sz w:val="23"/>
          <w:szCs w:val="23"/>
        </w:rPr>
        <w:t>“</w:t>
      </w:r>
      <w:r w:rsidR="001C2576" w:rsidRPr="00E26C00">
        <w:rPr>
          <w:rFonts w:ascii="Times New Roman" w:hAnsi="Times New Roman"/>
          <w:i/>
          <w:sz w:val="23"/>
          <w:szCs w:val="23"/>
        </w:rPr>
        <w:t>Art. 79.</w:t>
      </w:r>
      <w:proofErr w:type="gramEnd"/>
      <w:r w:rsidR="001C2576" w:rsidRPr="00E26C00">
        <w:rPr>
          <w:rFonts w:ascii="Times New Roman" w:hAnsi="Times New Roman"/>
          <w:i/>
          <w:sz w:val="23"/>
          <w:szCs w:val="23"/>
        </w:rPr>
        <w:t xml:space="preserve"> A EAPC determinará que os regulamentos dos FIES, além das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="001C2576" w:rsidRPr="00E26C00">
        <w:rPr>
          <w:rFonts w:ascii="Times New Roman" w:hAnsi="Times New Roman"/>
          <w:i/>
          <w:sz w:val="23"/>
          <w:szCs w:val="23"/>
        </w:rPr>
        <w:t>informações mínimas exigidas pela regulamentação pertinente, contenham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="001C2576" w:rsidRPr="00E26C00">
        <w:rPr>
          <w:rFonts w:ascii="Times New Roman" w:hAnsi="Times New Roman"/>
          <w:i/>
          <w:sz w:val="23"/>
          <w:szCs w:val="23"/>
        </w:rPr>
        <w:t>dispositivos:</w:t>
      </w:r>
    </w:p>
    <w:p w:rsidR="00ED1079" w:rsidRPr="00E26C00" w:rsidRDefault="00ED1079" w:rsidP="008A7A96">
      <w:pPr>
        <w:ind w:left="709"/>
        <w:jc w:val="both"/>
        <w:rPr>
          <w:i/>
        </w:rPr>
      </w:pP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>I – vedando, à EAPC mantenedora do plano, à instituição administradora,</w:t>
      </w:r>
      <w:r w:rsidR="00E26C00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à pessoa jurídica a qual tenham sido delegados os poderes de gestão da carteira, bem como</w:t>
      </w:r>
      <w:r w:rsidR="00E26C00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às empresas a elas ligadas, tal como definido na regulamentação vigente, a</w:t>
      </w:r>
      <w:proofErr w:type="gramStart"/>
      <w:r w:rsidRPr="00E26C00">
        <w:rPr>
          <w:rFonts w:ascii="Times New Roman" w:hAnsi="Times New Roman"/>
          <w:i/>
          <w:sz w:val="23"/>
          <w:szCs w:val="23"/>
        </w:rPr>
        <w:t xml:space="preserve"> </w:t>
      </w:r>
      <w:r w:rsidR="00E26C00">
        <w:rPr>
          <w:rFonts w:ascii="Times New Roman" w:hAnsi="Times New Roman"/>
          <w:i/>
          <w:sz w:val="23"/>
          <w:szCs w:val="23"/>
        </w:rPr>
        <w:t xml:space="preserve"> </w:t>
      </w:r>
      <w:proofErr w:type="gramEnd"/>
      <w:r w:rsidR="00E26C00">
        <w:rPr>
          <w:rFonts w:ascii="Times New Roman" w:hAnsi="Times New Roman"/>
          <w:i/>
          <w:sz w:val="23"/>
          <w:szCs w:val="23"/>
        </w:rPr>
        <w:t>c</w:t>
      </w:r>
      <w:r w:rsidRPr="00E26C00">
        <w:rPr>
          <w:rFonts w:ascii="Times New Roman" w:hAnsi="Times New Roman"/>
          <w:i/>
          <w:sz w:val="23"/>
          <w:szCs w:val="23"/>
        </w:rPr>
        <w:t>ondição de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contraparte, mesmo indiretamente, em operações da carteira do FIE;</w:t>
      </w: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>II – excetuando da vedação mencionada no inciso I deste artigo, as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 xml:space="preserve">operações compromissadas destinadas à aplicação, por um único dia, de recursos </w:t>
      </w:r>
      <w:proofErr w:type="gramStart"/>
      <w:r w:rsidRPr="00E26C00">
        <w:rPr>
          <w:rFonts w:ascii="Times New Roman" w:hAnsi="Times New Roman"/>
          <w:i/>
          <w:sz w:val="23"/>
          <w:szCs w:val="23"/>
        </w:rPr>
        <w:t>aplicados</w:t>
      </w:r>
      <w:proofErr w:type="gramEnd"/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proofErr w:type="gramStart"/>
      <w:r w:rsidRPr="00E26C00">
        <w:rPr>
          <w:rFonts w:ascii="Times New Roman" w:hAnsi="Times New Roman"/>
          <w:i/>
          <w:sz w:val="23"/>
          <w:szCs w:val="23"/>
        </w:rPr>
        <w:lastRenderedPageBreak/>
        <w:t>pela</w:t>
      </w:r>
      <w:proofErr w:type="gramEnd"/>
      <w:r w:rsidRPr="00E26C00">
        <w:rPr>
          <w:rFonts w:ascii="Times New Roman" w:hAnsi="Times New Roman"/>
          <w:i/>
          <w:sz w:val="23"/>
          <w:szCs w:val="23"/>
        </w:rPr>
        <w:t xml:space="preserve"> EAPC no FIE e que não puderam ser alocados em outros ativos, no mesmo dia, na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forma regulamentada;</w:t>
      </w: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>III – vedando, à instituição administradora e à pessoa jurídica a qual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tenham sido delegados os poderes de gestão da carteira, contratar operações por conta do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FIE tendo como contraparte quaisquer outros fundos de investimento ou carteiras sob sua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administração ou gestão;</w:t>
      </w: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>IV – fixando a política adotada para investimento dos recursos, com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 xml:space="preserve">capítulo particular tratando das diretrizes, dos limites e das condições de atuação a </w:t>
      </w:r>
      <w:proofErr w:type="gramStart"/>
      <w:r w:rsidRPr="00E26C00">
        <w:rPr>
          <w:rFonts w:ascii="Times New Roman" w:hAnsi="Times New Roman"/>
          <w:i/>
          <w:sz w:val="23"/>
          <w:szCs w:val="23"/>
        </w:rPr>
        <w:t>serem</w:t>
      </w:r>
      <w:proofErr w:type="gramEnd"/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proofErr w:type="gramStart"/>
      <w:r w:rsidRPr="00E26C00">
        <w:rPr>
          <w:rFonts w:ascii="Times New Roman" w:hAnsi="Times New Roman"/>
          <w:i/>
          <w:sz w:val="23"/>
          <w:szCs w:val="23"/>
        </w:rPr>
        <w:t>observados</w:t>
      </w:r>
      <w:proofErr w:type="gramEnd"/>
      <w:r w:rsidRPr="00E26C00">
        <w:rPr>
          <w:rFonts w:ascii="Times New Roman" w:hAnsi="Times New Roman"/>
          <w:i/>
          <w:sz w:val="23"/>
          <w:szCs w:val="23"/>
        </w:rPr>
        <w:t xml:space="preserve"> na realização de operações com derivativos (futuros, opções, swaps e mercado a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termo), em conformidade com as diretrizes fixadas pelo CNSP, e dos percentuais mínimo e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máximo de investimentos em renda variável, caso haja a previsão de investimentos deste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tipo, respeitado o limite máximo estabelecido na legislação vigente;</w:t>
      </w: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>V - obrigando a instituição administradora do FIE a prestar à EAPC,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mantenedora do plano, todas as informações necessárias ao pleno e perfeito atendimento às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disposições constantes do art. 58</w:t>
      </w:r>
      <w:r w:rsidR="008A7A96">
        <w:rPr>
          <w:rStyle w:val="Refdenotaderodap"/>
          <w:rFonts w:ascii="Times New Roman" w:hAnsi="Times New Roman"/>
          <w:i/>
          <w:sz w:val="23"/>
          <w:szCs w:val="23"/>
        </w:rPr>
        <w:footnoteReference w:id="1"/>
      </w:r>
      <w:r w:rsidRPr="00E26C00">
        <w:rPr>
          <w:rFonts w:ascii="Times New Roman" w:hAnsi="Times New Roman"/>
          <w:i/>
          <w:sz w:val="23"/>
          <w:szCs w:val="23"/>
        </w:rPr>
        <w:t>;</w:t>
      </w: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 xml:space="preserve">VI – determinando, no caso dos </w:t>
      </w:r>
      <w:proofErr w:type="spellStart"/>
      <w:proofErr w:type="gramStart"/>
      <w:r w:rsidRPr="00E26C00">
        <w:rPr>
          <w:rFonts w:ascii="Times New Roman" w:hAnsi="Times New Roman"/>
          <w:i/>
          <w:sz w:val="23"/>
          <w:szCs w:val="23"/>
        </w:rPr>
        <w:t>FIEs</w:t>
      </w:r>
      <w:proofErr w:type="spellEnd"/>
      <w:proofErr w:type="gramEnd"/>
      <w:r w:rsidRPr="00E26C00">
        <w:rPr>
          <w:rFonts w:ascii="Times New Roman" w:hAnsi="Times New Roman"/>
          <w:i/>
          <w:sz w:val="23"/>
          <w:szCs w:val="23"/>
        </w:rPr>
        <w:t xml:space="preserve"> onde serão aplicados diretamente os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recursos pela EAPC ou pelos segurados e participantes dos planos por ela mantidos, a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divulgação diária, no periódico utilizado para prestação de informações, da taxa de</w:t>
      </w: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proofErr w:type="gramStart"/>
      <w:r w:rsidRPr="00E26C00">
        <w:rPr>
          <w:rFonts w:ascii="Times New Roman" w:hAnsi="Times New Roman"/>
          <w:i/>
          <w:sz w:val="23"/>
          <w:szCs w:val="23"/>
        </w:rPr>
        <w:t>administração</w:t>
      </w:r>
      <w:proofErr w:type="gramEnd"/>
      <w:r w:rsidRPr="00E26C00">
        <w:rPr>
          <w:rFonts w:ascii="Times New Roman" w:hAnsi="Times New Roman"/>
          <w:i/>
          <w:sz w:val="23"/>
          <w:szCs w:val="23"/>
        </w:rPr>
        <w:t xml:space="preserve"> praticada, do valor do patrimônio líquido, do valor da quota e das</w:t>
      </w: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proofErr w:type="gramStart"/>
      <w:r w:rsidRPr="00E26C00">
        <w:rPr>
          <w:rFonts w:ascii="Times New Roman" w:hAnsi="Times New Roman"/>
          <w:i/>
          <w:sz w:val="23"/>
          <w:szCs w:val="23"/>
        </w:rPr>
        <w:t>rentabilidades</w:t>
      </w:r>
      <w:proofErr w:type="gramEnd"/>
      <w:r w:rsidRPr="00E26C00">
        <w:rPr>
          <w:rFonts w:ascii="Times New Roman" w:hAnsi="Times New Roman"/>
          <w:i/>
          <w:sz w:val="23"/>
          <w:szCs w:val="23"/>
        </w:rPr>
        <w:t xml:space="preserve"> acumuladas no mês e no ano civil a que se referirem;</w:t>
      </w: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>VII - especificando as bases de cálculo e fórmulas utilizadas para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quantificação da taxa de administração;</w:t>
      </w: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>VIII – vedando ao administrador aplicar recursos do FIE, quando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representado por fundo de investimento em quotas de fundos de investimento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especialmente constituídos, em fundos cujo regulamento preveja a cobrança de taxa de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 xml:space="preserve">administração, de </w:t>
      </w:r>
      <w:proofErr w:type="gramStart"/>
      <w:r w:rsidRPr="00E26C00">
        <w:rPr>
          <w:rFonts w:ascii="Times New Roman" w:hAnsi="Times New Roman"/>
          <w:i/>
          <w:sz w:val="23"/>
          <w:szCs w:val="23"/>
        </w:rPr>
        <w:t>performance</w:t>
      </w:r>
      <w:proofErr w:type="gramEnd"/>
      <w:r w:rsidRPr="00E26C00">
        <w:rPr>
          <w:rFonts w:ascii="Times New Roman" w:hAnsi="Times New Roman"/>
          <w:i/>
          <w:sz w:val="23"/>
          <w:szCs w:val="23"/>
        </w:rPr>
        <w:t xml:space="preserve"> ou de desempenho;</w:t>
      </w:r>
    </w:p>
    <w:p w:rsidR="001C2576" w:rsidRPr="00E26C00" w:rsidRDefault="001C2576" w:rsidP="008A7A96">
      <w:pPr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1C2576" w:rsidRPr="00E26C00" w:rsidRDefault="001C2576" w:rsidP="008A7A96">
      <w:pPr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>IX - vedando a transferência de titularidade das quotas do fundo;</w:t>
      </w:r>
    </w:p>
    <w:p w:rsidR="001C2576" w:rsidRPr="00E26C00" w:rsidRDefault="001C2576" w:rsidP="008A7A96">
      <w:pPr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>X – explicitando que as quotas do FIE, correspondem, na forma da lei,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aos ativos garantidores das provisões, reservas e fundos do respectivo plano, devendo estar,</w:t>
      </w: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proofErr w:type="gramStart"/>
      <w:r w:rsidRPr="00E26C00">
        <w:rPr>
          <w:rFonts w:ascii="Times New Roman" w:hAnsi="Times New Roman"/>
          <w:i/>
          <w:sz w:val="23"/>
          <w:szCs w:val="23"/>
        </w:rPr>
        <w:t>permanentemente</w:t>
      </w:r>
      <w:proofErr w:type="gramEnd"/>
      <w:r w:rsidRPr="00E26C00">
        <w:rPr>
          <w:rFonts w:ascii="Times New Roman" w:hAnsi="Times New Roman"/>
          <w:i/>
          <w:sz w:val="23"/>
          <w:szCs w:val="23"/>
        </w:rPr>
        <w:t>, vinculadas ao órgão executivo do Sistema Nacional de Seguros</w:t>
      </w:r>
    </w:p>
    <w:p w:rsidR="001C2576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>Privados, não podendo ser gravadas sob qualquer forma ou oferecidas como garantia para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 xml:space="preserve">quaisquer outros fins; </w:t>
      </w:r>
      <w:proofErr w:type="gramStart"/>
      <w:r w:rsidRPr="00E26C00">
        <w:rPr>
          <w:rFonts w:ascii="Times New Roman" w:hAnsi="Times New Roman"/>
          <w:i/>
          <w:sz w:val="23"/>
          <w:szCs w:val="23"/>
        </w:rPr>
        <w:t>e</w:t>
      </w:r>
      <w:proofErr w:type="gramEnd"/>
    </w:p>
    <w:p w:rsidR="008A7A96" w:rsidRPr="00E26C00" w:rsidRDefault="008A7A9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>XI – explicitando que os investimentos integrantes da carteira do FIE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obedecerão aos critérios fixados pelo Conselho Monetário Nacional – CMN para aplicação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dos recursos de provisões técnicas de sociedades seguradoras.</w:t>
      </w: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>§ 1</w:t>
      </w:r>
      <w:r w:rsidRPr="00E26C00">
        <w:rPr>
          <w:rFonts w:ascii="Times New Roman" w:hAnsi="Times New Roman"/>
          <w:i/>
          <w:sz w:val="16"/>
          <w:szCs w:val="16"/>
        </w:rPr>
        <w:t xml:space="preserve">o </w:t>
      </w:r>
      <w:r w:rsidRPr="00E26C00">
        <w:rPr>
          <w:rFonts w:ascii="Times New Roman" w:hAnsi="Times New Roman"/>
          <w:i/>
          <w:sz w:val="23"/>
          <w:szCs w:val="23"/>
        </w:rPr>
        <w:t xml:space="preserve">A inserção no regulamento dos </w:t>
      </w:r>
      <w:proofErr w:type="spellStart"/>
      <w:proofErr w:type="gramStart"/>
      <w:r w:rsidRPr="00E26C00">
        <w:rPr>
          <w:rFonts w:ascii="Times New Roman" w:hAnsi="Times New Roman"/>
          <w:i/>
          <w:sz w:val="23"/>
          <w:szCs w:val="23"/>
        </w:rPr>
        <w:t>FIEs</w:t>
      </w:r>
      <w:proofErr w:type="spellEnd"/>
      <w:proofErr w:type="gramEnd"/>
      <w:r w:rsidRPr="00E26C00">
        <w:rPr>
          <w:rFonts w:ascii="Times New Roman" w:hAnsi="Times New Roman"/>
          <w:i/>
          <w:sz w:val="23"/>
          <w:szCs w:val="23"/>
        </w:rPr>
        <w:t xml:space="preserve"> de disposições que contrariem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as normas que regem os planos de que trata esta Circular e a aplicação dos respectivos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lastRenderedPageBreak/>
        <w:t>recursos, sujeita a EAPC e seus administradores às sanções legais e regulamentares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cabíveis.</w:t>
      </w:r>
    </w:p>
    <w:p w:rsidR="001C2576" w:rsidRPr="00E26C00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1C2576" w:rsidRDefault="001C2576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3"/>
          <w:szCs w:val="23"/>
        </w:rPr>
      </w:pPr>
      <w:r w:rsidRPr="00E26C00">
        <w:rPr>
          <w:rFonts w:ascii="Times New Roman" w:hAnsi="Times New Roman"/>
          <w:i/>
          <w:sz w:val="23"/>
          <w:szCs w:val="23"/>
        </w:rPr>
        <w:t xml:space="preserve">§ </w:t>
      </w:r>
      <w:proofErr w:type="gramStart"/>
      <w:r w:rsidRPr="00E26C00">
        <w:rPr>
          <w:rFonts w:ascii="Times New Roman" w:hAnsi="Times New Roman"/>
          <w:i/>
          <w:sz w:val="23"/>
          <w:szCs w:val="23"/>
        </w:rPr>
        <w:t>2</w:t>
      </w:r>
      <w:r w:rsidRPr="00E26C00">
        <w:rPr>
          <w:rFonts w:ascii="Times New Roman" w:hAnsi="Times New Roman"/>
          <w:i/>
          <w:sz w:val="16"/>
          <w:szCs w:val="16"/>
        </w:rPr>
        <w:t xml:space="preserve">o </w:t>
      </w:r>
      <w:r w:rsidRPr="00E26C00">
        <w:rPr>
          <w:rFonts w:ascii="Times New Roman" w:hAnsi="Times New Roman"/>
          <w:i/>
          <w:sz w:val="23"/>
          <w:szCs w:val="23"/>
        </w:rPr>
        <w:t>Os incisos IX e X deste artigo não se aplicam ao FIE com patrimônio</w:t>
      </w:r>
      <w:r w:rsidR="008A7A96">
        <w:rPr>
          <w:rFonts w:ascii="Times New Roman" w:hAnsi="Times New Roman"/>
          <w:i/>
          <w:sz w:val="23"/>
          <w:szCs w:val="23"/>
        </w:rPr>
        <w:t xml:space="preserve"> </w:t>
      </w:r>
      <w:r w:rsidRPr="00E26C00">
        <w:rPr>
          <w:rFonts w:ascii="Times New Roman" w:hAnsi="Times New Roman"/>
          <w:i/>
          <w:sz w:val="23"/>
          <w:szCs w:val="23"/>
        </w:rPr>
        <w:t>segregado do patrimônio da EAPC do plano.</w:t>
      </w:r>
      <w:r>
        <w:rPr>
          <w:rFonts w:ascii="Times New Roman" w:hAnsi="Times New Roman"/>
          <w:sz w:val="23"/>
          <w:szCs w:val="23"/>
        </w:rPr>
        <w:t>”</w:t>
      </w:r>
      <w:proofErr w:type="gramEnd"/>
    </w:p>
    <w:p w:rsidR="00532E92" w:rsidRDefault="00532E92" w:rsidP="001C2576">
      <w:pPr>
        <w:rPr>
          <w:rFonts w:ascii="Times New Roman" w:hAnsi="Times New Roman"/>
          <w:sz w:val="23"/>
          <w:szCs w:val="23"/>
        </w:rPr>
      </w:pPr>
    </w:p>
    <w:p w:rsidR="00532E92" w:rsidRDefault="00532E92" w:rsidP="001C2576">
      <w:pPr>
        <w:rPr>
          <w:rFonts w:ascii="Times New Roman" w:hAnsi="Times New Roman"/>
          <w:sz w:val="23"/>
          <w:szCs w:val="23"/>
        </w:rPr>
      </w:pPr>
    </w:p>
    <w:p w:rsidR="00B95D2F" w:rsidRPr="00B136B4" w:rsidRDefault="00B95D2F" w:rsidP="00B95D2F">
      <w:pPr>
        <w:numPr>
          <w:ilvl w:val="0"/>
          <w:numId w:val="3"/>
        </w:numPr>
        <w:rPr>
          <w:rFonts w:ascii="Times New Roman" w:hAnsi="Times New Roman"/>
          <w:b/>
          <w:sz w:val="23"/>
          <w:szCs w:val="23"/>
        </w:rPr>
      </w:pPr>
      <w:r w:rsidRPr="00B136B4">
        <w:rPr>
          <w:rFonts w:ascii="Times New Roman" w:hAnsi="Times New Roman"/>
          <w:b/>
          <w:sz w:val="23"/>
          <w:szCs w:val="23"/>
        </w:rPr>
        <w:t xml:space="preserve">Para todos os </w:t>
      </w:r>
      <w:proofErr w:type="spellStart"/>
      <w:r w:rsidRPr="00B136B4">
        <w:rPr>
          <w:rFonts w:ascii="Times New Roman" w:hAnsi="Times New Roman"/>
          <w:b/>
          <w:sz w:val="23"/>
          <w:szCs w:val="23"/>
        </w:rPr>
        <w:t>FIE’s</w:t>
      </w:r>
      <w:proofErr w:type="spellEnd"/>
      <w:r w:rsidRPr="00B136B4">
        <w:rPr>
          <w:rFonts w:ascii="Times New Roman" w:hAnsi="Times New Roman"/>
          <w:b/>
          <w:sz w:val="23"/>
          <w:szCs w:val="23"/>
        </w:rPr>
        <w:t>:</w:t>
      </w:r>
    </w:p>
    <w:p w:rsidR="00B95D2F" w:rsidRDefault="00B95D2F" w:rsidP="001C2576">
      <w:pPr>
        <w:rPr>
          <w:rFonts w:ascii="Times New Roman" w:hAnsi="Times New Roman"/>
          <w:sz w:val="23"/>
          <w:szCs w:val="23"/>
        </w:rPr>
      </w:pPr>
    </w:p>
    <w:p w:rsidR="00532E92" w:rsidRPr="008A7A96" w:rsidRDefault="00532E92" w:rsidP="008A7A96">
      <w:pPr>
        <w:ind w:left="709"/>
        <w:rPr>
          <w:rFonts w:ascii="Times New Roman" w:hAnsi="Times New Roman"/>
          <w:sz w:val="23"/>
          <w:szCs w:val="23"/>
        </w:rPr>
      </w:pPr>
      <w:r w:rsidRPr="008A7A96">
        <w:rPr>
          <w:rFonts w:ascii="Times New Roman" w:hAnsi="Times New Roman"/>
          <w:sz w:val="23"/>
          <w:szCs w:val="23"/>
        </w:rPr>
        <w:t>Artigo 7º, Res. CNSP nº 226/10.</w:t>
      </w:r>
    </w:p>
    <w:p w:rsidR="00532E92" w:rsidRDefault="00532E92" w:rsidP="008A7A96">
      <w:pPr>
        <w:ind w:left="709"/>
        <w:rPr>
          <w:rFonts w:ascii="Times New Roman" w:hAnsi="Times New Roman"/>
          <w:sz w:val="23"/>
          <w:szCs w:val="23"/>
        </w:rPr>
      </w:pPr>
    </w:p>
    <w:p w:rsidR="00532E92" w:rsidRPr="008A7A96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“</w:t>
      </w:r>
      <w:r w:rsidRPr="008A7A96">
        <w:rPr>
          <w:rFonts w:ascii="Times New Roman" w:hAnsi="Times New Roman"/>
          <w:i/>
          <w:sz w:val="23"/>
          <w:szCs w:val="23"/>
        </w:rPr>
        <w:t xml:space="preserve">Art. 7o A atuação do FIE em mercados de derivativos: </w:t>
      </w:r>
    </w:p>
    <w:p w:rsidR="00532E92" w:rsidRPr="008A7A96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proofErr w:type="gramEnd"/>
    </w:p>
    <w:p w:rsidR="00532E92" w:rsidRPr="008A7A96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8A7A96">
        <w:rPr>
          <w:rFonts w:ascii="Times New Roman" w:hAnsi="Times New Roman"/>
          <w:i/>
          <w:sz w:val="23"/>
          <w:szCs w:val="23"/>
        </w:rPr>
        <w:t xml:space="preserve">I - deve ser realizada exclusivamente para proteção da carteira, podendo, inclusive, realizar operações de síntese de posição do mercado à vista; </w:t>
      </w:r>
    </w:p>
    <w:p w:rsidR="00532E92" w:rsidRPr="008A7A96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532E92" w:rsidRPr="008A7A96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8A7A96">
        <w:rPr>
          <w:rFonts w:ascii="Times New Roman" w:hAnsi="Times New Roman"/>
          <w:i/>
          <w:sz w:val="23"/>
          <w:szCs w:val="23"/>
        </w:rPr>
        <w:t xml:space="preserve">II - não pode gerar, a qualquer tempo, exposição superior a uma vez o respectivo patrimônio líquido; </w:t>
      </w:r>
    </w:p>
    <w:p w:rsidR="00532E92" w:rsidRPr="008A7A96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532E92" w:rsidRPr="008A7A96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8A7A96">
        <w:rPr>
          <w:rFonts w:ascii="Times New Roman" w:hAnsi="Times New Roman"/>
          <w:i/>
          <w:sz w:val="23"/>
          <w:szCs w:val="23"/>
        </w:rPr>
        <w:t xml:space="preserve">III - não pode gerar, a qualquer tempo e cumulativamente com as posições detidas à vista, exposição superior a uma vez o respectivo patrimônio líquido, por cada fator de risco; </w:t>
      </w:r>
    </w:p>
    <w:p w:rsidR="00532E92" w:rsidRPr="008A7A96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532E92" w:rsidRPr="008A7A96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8A7A96">
        <w:rPr>
          <w:rFonts w:ascii="Times New Roman" w:hAnsi="Times New Roman"/>
          <w:i/>
          <w:sz w:val="23"/>
          <w:szCs w:val="23"/>
        </w:rPr>
        <w:t xml:space="preserve">IV – não pode realizar operações de venda de opção a descoberto; </w:t>
      </w:r>
      <w:proofErr w:type="gramStart"/>
      <w:r w:rsidRPr="008A7A96">
        <w:rPr>
          <w:rFonts w:ascii="Times New Roman" w:hAnsi="Times New Roman"/>
          <w:i/>
          <w:sz w:val="23"/>
          <w:szCs w:val="23"/>
        </w:rPr>
        <w:t>e</w:t>
      </w:r>
      <w:proofErr w:type="gramEnd"/>
      <w:r w:rsidRPr="008A7A96">
        <w:rPr>
          <w:rFonts w:ascii="Times New Roman" w:hAnsi="Times New Roman"/>
          <w:i/>
          <w:sz w:val="23"/>
          <w:szCs w:val="23"/>
        </w:rPr>
        <w:t xml:space="preserve"> </w:t>
      </w:r>
    </w:p>
    <w:p w:rsidR="00532E92" w:rsidRPr="008A7A96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532E92" w:rsidRPr="008A7A96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  <w:r w:rsidRPr="008A7A96">
        <w:rPr>
          <w:rFonts w:ascii="Times New Roman" w:hAnsi="Times New Roman"/>
          <w:i/>
          <w:sz w:val="23"/>
          <w:szCs w:val="23"/>
        </w:rPr>
        <w:t xml:space="preserve">V - não pode ser realizada na modalidade "sem garantia". </w:t>
      </w:r>
    </w:p>
    <w:p w:rsidR="00532E92" w:rsidRPr="008A7A96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i/>
          <w:sz w:val="23"/>
          <w:szCs w:val="23"/>
        </w:rPr>
      </w:pPr>
    </w:p>
    <w:p w:rsidR="00532E92" w:rsidRPr="00532E92" w:rsidRDefault="00532E92" w:rsidP="008A7A96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3"/>
          <w:szCs w:val="23"/>
        </w:rPr>
      </w:pPr>
      <w:r w:rsidRPr="008A7A96">
        <w:rPr>
          <w:rFonts w:ascii="Times New Roman" w:hAnsi="Times New Roman"/>
          <w:i/>
          <w:sz w:val="23"/>
          <w:szCs w:val="23"/>
        </w:rPr>
        <w:t>§ 1o A utilização de instrumentos derivativos pelo FIE está condicionada a que o regulamento do fundo contenha cláusulas específicas explicitando as disposições previstas nos incisos I a V deste artigo. (</w:t>
      </w:r>
      <w:proofErr w:type="gramStart"/>
      <w:r w:rsidRPr="008A7A96">
        <w:rPr>
          <w:rFonts w:ascii="Times New Roman" w:hAnsi="Times New Roman"/>
          <w:i/>
          <w:sz w:val="23"/>
          <w:szCs w:val="23"/>
        </w:rPr>
        <w:t>...)</w:t>
      </w:r>
      <w:r>
        <w:rPr>
          <w:rFonts w:ascii="Times New Roman" w:hAnsi="Times New Roman"/>
          <w:sz w:val="23"/>
          <w:szCs w:val="23"/>
        </w:rPr>
        <w:t>”</w:t>
      </w:r>
      <w:proofErr w:type="gramEnd"/>
    </w:p>
    <w:sectPr w:rsidR="00532E92" w:rsidRPr="00532E92" w:rsidSect="002C6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17" w:rsidRDefault="00D52C17" w:rsidP="008A7A96">
      <w:r>
        <w:separator/>
      </w:r>
    </w:p>
  </w:endnote>
  <w:endnote w:type="continuationSeparator" w:id="0">
    <w:p w:rsidR="00D52C17" w:rsidRDefault="00D52C17" w:rsidP="008A7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17" w:rsidRDefault="00D52C17" w:rsidP="008A7A96">
      <w:r>
        <w:separator/>
      </w:r>
    </w:p>
  </w:footnote>
  <w:footnote w:type="continuationSeparator" w:id="0">
    <w:p w:rsidR="00D52C17" w:rsidRDefault="00D52C17" w:rsidP="008A7A96">
      <w:r>
        <w:continuationSeparator/>
      </w:r>
    </w:p>
  </w:footnote>
  <w:footnote w:id="1">
    <w:p w:rsidR="008A7A96" w:rsidRPr="00852CE2" w:rsidRDefault="008A7A96" w:rsidP="00852CE2">
      <w:pPr>
        <w:pStyle w:val="Textodenotaderodap"/>
        <w:jc w:val="both"/>
        <w:rPr>
          <w:i/>
          <w:color w:val="FF0000"/>
        </w:rPr>
      </w:pPr>
      <w:r>
        <w:rPr>
          <w:rStyle w:val="Refdenotaderodap"/>
        </w:rPr>
        <w:footnoteRef/>
      </w:r>
      <w:r>
        <w:t xml:space="preserve"> </w:t>
      </w:r>
      <w:r w:rsidR="00852CE2" w:rsidRPr="00B136B4">
        <w:rPr>
          <w:i/>
        </w:rPr>
        <w:t xml:space="preserve">Art. 58. As </w:t>
      </w:r>
      <w:proofErr w:type="spellStart"/>
      <w:r w:rsidR="00852CE2" w:rsidRPr="00B136B4">
        <w:rPr>
          <w:i/>
        </w:rPr>
        <w:t>EAPC´s</w:t>
      </w:r>
      <w:proofErr w:type="spellEnd"/>
      <w:r w:rsidR="00852CE2" w:rsidRPr="00B136B4">
        <w:rPr>
          <w:i/>
        </w:rPr>
        <w:t xml:space="preserve"> remeterão à SUSEP, na forma regulamentada, formulário de informação periódica com os dados dos planos por elas mantidos e, quando for o caso, do(s) respectivo(s) fundo(s) de investimento.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AF6"/>
    <w:multiLevelType w:val="hybridMultilevel"/>
    <w:tmpl w:val="287EDEA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010F4"/>
    <w:multiLevelType w:val="hybridMultilevel"/>
    <w:tmpl w:val="19E0ED38"/>
    <w:lvl w:ilvl="0" w:tplc="A77816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D67FE"/>
    <w:multiLevelType w:val="hybridMultilevel"/>
    <w:tmpl w:val="9DE02E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1079"/>
    <w:rsid w:val="00007410"/>
    <w:rsid w:val="00042677"/>
    <w:rsid w:val="000D224B"/>
    <w:rsid w:val="001C2576"/>
    <w:rsid w:val="002C65FF"/>
    <w:rsid w:val="0051549E"/>
    <w:rsid w:val="00532E92"/>
    <w:rsid w:val="00625A97"/>
    <w:rsid w:val="00633D54"/>
    <w:rsid w:val="006462CB"/>
    <w:rsid w:val="00681170"/>
    <w:rsid w:val="00715A59"/>
    <w:rsid w:val="00845512"/>
    <w:rsid w:val="00852CE2"/>
    <w:rsid w:val="008A7A96"/>
    <w:rsid w:val="009C57AF"/>
    <w:rsid w:val="00A42E12"/>
    <w:rsid w:val="00A74034"/>
    <w:rsid w:val="00B136B4"/>
    <w:rsid w:val="00B95D2F"/>
    <w:rsid w:val="00C2642B"/>
    <w:rsid w:val="00CD727B"/>
    <w:rsid w:val="00D52C17"/>
    <w:rsid w:val="00D82B69"/>
    <w:rsid w:val="00E26C00"/>
    <w:rsid w:val="00ED1079"/>
    <w:rsid w:val="00FD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5FF"/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32E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26C0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7A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7A9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A7A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97A2E-339C-4BC1-A1D3-413E6434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907</Words>
  <Characters>4903</Characters>
  <Application>Microsoft Office Word</Application>
  <DocSecurity>4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2013-02-07T17:14:00Z</dcterms:created>
  <dcterms:modified xsi:type="dcterms:W3CDTF">2013-02-07T17:14:00Z</dcterms:modified>
</cp:coreProperties>
</file>