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B" w:rsidRPr="00F85BA5" w:rsidRDefault="00C3072B" w:rsidP="00C3072B">
      <w:pPr>
        <w:jc w:val="center"/>
        <w:rPr>
          <w:b/>
          <w:bCs/>
          <w:sz w:val="28"/>
          <w:szCs w:val="28"/>
          <w:u w:val="single"/>
        </w:rPr>
      </w:pPr>
      <w:r w:rsidRPr="00F85BA5">
        <w:rPr>
          <w:b/>
          <w:bCs/>
          <w:sz w:val="28"/>
          <w:szCs w:val="28"/>
          <w:u w:val="single"/>
        </w:rPr>
        <w:t>Desvinculação de Imóveis</w:t>
      </w:r>
    </w:p>
    <w:p w:rsidR="00C3072B" w:rsidRPr="00F85BA5" w:rsidRDefault="00C3072B" w:rsidP="00C3072B">
      <w:pPr>
        <w:numPr>
          <w:ilvl w:val="2"/>
          <w:numId w:val="3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Introdução: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Quando a sociedade / entidade desejar liberar (desvincular) o imóvel, excluindo o gravame de vinculação à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, deverá formalizar este pedido à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O deferimento do pedido de desvinculação de um imóvel acarreta que este não mais será considerado como ativo garantidor das provisões técnicas.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072B" w:rsidRPr="00F85BA5" w:rsidRDefault="00C3072B" w:rsidP="00C3072B">
      <w:pPr>
        <w:numPr>
          <w:ilvl w:val="2"/>
          <w:numId w:val="3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Pedido de Desvinculação de Imóvel: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O procedimento do pedido de desvinculação (ou liberação) de imóvel que constava como ativo vinculado, isto é, como ativo garantidor das provisões técnicas, ocorre de forma semelhante ao procedimento de vinculação.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Caso a Sociedade deseje não mais ter o imóvel vinculado à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(para que possa aliená-lo, por exemplo), ela deverá:</w:t>
      </w:r>
    </w:p>
    <w:p w:rsidR="00C3072B" w:rsidRPr="00F85BA5" w:rsidRDefault="00C3072B" w:rsidP="00C3072B">
      <w:pPr>
        <w:numPr>
          <w:ilvl w:val="0"/>
          <w:numId w:val="1"/>
        </w:numPr>
        <w:ind w:left="127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expediente à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solicitando que seja emitida a carta de liberação de vínculo de imóvel;</w:t>
      </w:r>
    </w:p>
    <w:p w:rsidR="00C3072B" w:rsidRPr="00F85BA5" w:rsidRDefault="00C3072B" w:rsidP="00C3072B">
      <w:pPr>
        <w:numPr>
          <w:ilvl w:val="0"/>
          <w:numId w:val="1"/>
        </w:numPr>
        <w:ind w:left="127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Uma vez deferido o pedido e emitida </w:t>
      </w:r>
      <w:proofErr w:type="gram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proofErr w:type="gram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carta de liberação, a sociedade / entidade deverá proceder ao reconhecimento da firma do Coordenador-Geral da CGSOA no cartório indicado pela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e apresentá-la, no prazo de validade estabelecido na própria carta de liberação, ao cartório de registro de imóveis.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O deferimento pela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do pedido de liberação dependerá, dentre outros fatores:</w:t>
      </w:r>
    </w:p>
    <w:p w:rsidR="00C3072B" w:rsidRPr="00F85BA5" w:rsidRDefault="00C3072B" w:rsidP="00C3072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Da análise da solvência da sociedade / entidade;</w:t>
      </w:r>
    </w:p>
    <w:p w:rsidR="00C3072B" w:rsidRPr="00F85BA5" w:rsidRDefault="00C3072B" w:rsidP="00C3072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Da repercussão da liberação para o status de solvência da sociedade / entidade;</w:t>
      </w:r>
    </w:p>
    <w:p w:rsidR="00C3072B" w:rsidRPr="00F85BA5" w:rsidRDefault="00C3072B" w:rsidP="00C3072B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De a sociedade / entidade não estar inscrita no Cadastro de Pendências da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Deferido o pedido, o imóvel não mais será considerado como ativo garantidor, independentemente da averbação da liberação no Cartório de Registro de Imóveis.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O deferimento é atestado pela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por meio da emissão da Carta de Liberação do imóvel que terá validade de 30 (trinta) dias a partir da data de sua expedição. A sociedade /entidade poderá solicitar, no expediente encaminhado à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 pedindo a liberação do imóvel, que a Carta de Liberação seja retirada na própria sede da </w:t>
      </w:r>
      <w:proofErr w:type="spellStart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Susep</w:t>
      </w:r>
      <w:proofErr w:type="spellEnd"/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, não necessitando, portanto, aguardar o seu recebimento através dos correios.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Em havendo esta solicitação, a secretaria da CGSOA entrará em contanto com a sociedade / entidade informando que a carta encontra-se disponível para retirada.</w:t>
      </w:r>
    </w:p>
    <w:p w:rsidR="00C3072B" w:rsidRPr="00F85BA5" w:rsidRDefault="00C3072B" w:rsidP="00C3072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3072B" w:rsidRPr="00F85BA5" w:rsidRDefault="00C3072B" w:rsidP="00C3072B">
      <w:pPr>
        <w:numPr>
          <w:ilvl w:val="2"/>
          <w:numId w:val="3"/>
        </w:numPr>
        <w:ind w:left="426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Fundamentos:</w:t>
      </w:r>
    </w:p>
    <w:p w:rsidR="00C3072B" w:rsidRPr="00F85BA5" w:rsidRDefault="00C3072B" w:rsidP="00C3072B">
      <w:pPr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 xml:space="preserve">Circular SUSEP nº 284, de 14 de fevereiro de 2005, Circular SUSEP nº 300, de 29 de agosto de 2005, </w:t>
      </w:r>
      <w:r w:rsidRPr="00F85BA5">
        <w:rPr>
          <w:rFonts w:ascii="Times New Roman" w:hAnsi="Times New Roman"/>
          <w:sz w:val="23"/>
          <w:szCs w:val="23"/>
          <w:lang w:eastAsia="pt-BR"/>
        </w:rPr>
        <w:t xml:space="preserve">Resolução CMN nº 3.308, de 31 de agosto de 2005 </w:t>
      </w:r>
      <w:r w:rsidRPr="00F85BA5">
        <w:rPr>
          <w:rFonts w:ascii="Times New Roman" w:eastAsia="Times New Roman" w:hAnsi="Times New Roman"/>
          <w:sz w:val="24"/>
          <w:szCs w:val="24"/>
          <w:lang w:eastAsia="pt-BR"/>
        </w:rPr>
        <w:t>e Circular SUSEP nº 427, de 15 de dezembro de 2011.</w:t>
      </w:r>
    </w:p>
    <w:p w:rsidR="00C3072B" w:rsidRPr="00F85BA5" w:rsidRDefault="00C3072B" w:rsidP="00C3072B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807AA" w:rsidRPr="00F85BA5" w:rsidRDefault="007807AA"/>
    <w:sectPr w:rsidR="007807AA" w:rsidRPr="00F85BA5" w:rsidSect="00780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54"/>
    <w:multiLevelType w:val="multilevel"/>
    <w:tmpl w:val="415007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192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B7415"/>
    <w:multiLevelType w:val="hybridMultilevel"/>
    <w:tmpl w:val="51BCFCCC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E006656"/>
    <w:multiLevelType w:val="hybridMultilevel"/>
    <w:tmpl w:val="9652645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72B"/>
    <w:rsid w:val="007807AA"/>
    <w:rsid w:val="00C3072B"/>
    <w:rsid w:val="00F8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2012-11-01T16:23:00Z</dcterms:created>
  <dcterms:modified xsi:type="dcterms:W3CDTF">2012-11-01T16:24:00Z</dcterms:modified>
</cp:coreProperties>
</file>