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1" w:rsidRDefault="00E64991" w:rsidP="003B6BA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  <w:r w:rsidRPr="00E64991">
        <w:rPr>
          <w:rFonts w:ascii="Times New Roman" w:hAnsi="Times New Roman"/>
          <w:b/>
          <w:szCs w:val="24"/>
          <w:u w:val="single"/>
        </w:rPr>
        <w:t>REPRESENTANTES DE SEGUROS</w:t>
      </w:r>
    </w:p>
    <w:p w:rsidR="00E64991" w:rsidRPr="00E64991" w:rsidRDefault="00E64991" w:rsidP="003B6BA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u w:val="single"/>
        </w:rPr>
      </w:pPr>
    </w:p>
    <w:p w:rsidR="00B931F5" w:rsidRPr="00F361DE" w:rsidRDefault="00B931F5" w:rsidP="003B6BA0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iCs/>
        </w:rPr>
      </w:pPr>
      <w:r w:rsidRPr="00F361DE">
        <w:rPr>
          <w:rFonts w:ascii="Times New Roman" w:hAnsi="Times New Roman"/>
          <w:b/>
          <w:szCs w:val="24"/>
        </w:rPr>
        <w:t>O Corretor de Seguros, pessoa natural, com habilitação ativa, poderá ser sócio de pessoas jurídicas que exerça atividade inerente ao Representante de Seguros (oferta e promoção de planos de seguros, recebimento de aviso de sinistro, cobrança de prêmio, apoio logístico à seguradora</w:t>
      </w:r>
      <w:r w:rsidR="00C72BA4" w:rsidRPr="00F361DE">
        <w:rPr>
          <w:rFonts w:ascii="Times New Roman" w:hAnsi="Times New Roman"/>
          <w:b/>
          <w:szCs w:val="24"/>
        </w:rPr>
        <w:t>, etc.)?</w:t>
      </w:r>
    </w:p>
    <w:p w:rsidR="00C72BA4" w:rsidRDefault="00C72BA4" w:rsidP="00C72BA4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821A7" w:rsidRDefault="00C72BA4" w:rsidP="00F361DE">
      <w:pPr>
        <w:pStyle w:val="Default"/>
        <w:jc w:val="both"/>
      </w:pPr>
      <w:r w:rsidRPr="00B821A7">
        <w:rPr>
          <w:b/>
        </w:rPr>
        <w:t>Resposta</w:t>
      </w:r>
      <w:r w:rsidR="00F361DE">
        <w:rPr>
          <w:b/>
        </w:rPr>
        <w:t>:</w:t>
      </w:r>
      <w:r w:rsidR="00B821A7" w:rsidRPr="00B821A7">
        <w:t xml:space="preserve"> </w:t>
      </w:r>
      <w:r w:rsidR="00F361DE">
        <w:t>D</w:t>
      </w:r>
      <w:r w:rsidR="00B821A7">
        <w:rPr>
          <w:szCs w:val="22"/>
        </w:rPr>
        <w:t>e acordo com o § 7º do artigo 1º</w:t>
      </w:r>
      <w:r w:rsidR="00F361DE">
        <w:rPr>
          <w:szCs w:val="22"/>
        </w:rPr>
        <w:t xml:space="preserve"> da Resolução CNSP nº 297/2013</w:t>
      </w:r>
      <w:r w:rsidR="00B821A7">
        <w:rPr>
          <w:szCs w:val="22"/>
        </w:rPr>
        <w:t xml:space="preserve">, </w:t>
      </w:r>
      <w:r w:rsidR="00B821A7">
        <w:t xml:space="preserve">é vedado ao representante de seguros </w:t>
      </w:r>
      <w:r w:rsidR="00B821A7" w:rsidRPr="00F43067">
        <w:rPr>
          <w:b/>
        </w:rPr>
        <w:t>o exercício da atividade de corretagem de seguros</w:t>
      </w:r>
      <w:r w:rsidR="00B821A7">
        <w:t xml:space="preserve"> ou a atuação como estipulante ou subestipulante. </w:t>
      </w:r>
    </w:p>
    <w:p w:rsidR="00B821A7" w:rsidRDefault="00B821A7" w:rsidP="00B821A7">
      <w:pPr>
        <w:pStyle w:val="Default"/>
        <w:ind w:firstLine="1418"/>
        <w:jc w:val="both"/>
      </w:pPr>
    </w:p>
    <w:p w:rsidR="00B821A7" w:rsidRDefault="00B821A7" w:rsidP="00B821A7">
      <w:pPr>
        <w:pStyle w:val="Default"/>
        <w:ind w:firstLine="1418"/>
        <w:jc w:val="both"/>
      </w:pPr>
      <w:r>
        <w:t xml:space="preserve">Ainda com relação ao assunto, de acordo com o inciso II do artigo 21 da Circular SUSEP nº 429/2012, é vedado ao corretor de seguros, manter relação de emprego, direção ou </w:t>
      </w:r>
      <w:r w:rsidRPr="00C02B2E">
        <w:rPr>
          <w:b/>
        </w:rPr>
        <w:t>representação</w:t>
      </w:r>
      <w:r>
        <w:t xml:space="preserve"> com sociedade seguradora, resseguradora, de capitalização ou entidade aberta de previdência complementar. </w:t>
      </w:r>
    </w:p>
    <w:p w:rsidR="00B821A7" w:rsidRDefault="00B821A7" w:rsidP="00B821A7">
      <w:pPr>
        <w:pStyle w:val="Default"/>
        <w:ind w:firstLine="1418"/>
        <w:jc w:val="both"/>
      </w:pPr>
    </w:p>
    <w:p w:rsidR="00C72BA4" w:rsidRPr="00B821A7" w:rsidRDefault="00B821A7" w:rsidP="00B821A7">
      <w:pPr>
        <w:pStyle w:val="Default"/>
        <w:ind w:firstLine="1418"/>
        <w:jc w:val="both"/>
      </w:pPr>
      <w:r w:rsidRPr="00B821A7">
        <w:t>Sendo assim, é vedado ao corretor de seguros</w:t>
      </w:r>
      <w:r w:rsidR="003655A2">
        <w:t>, pessoa natural,</w:t>
      </w:r>
      <w:r w:rsidRPr="00B821A7">
        <w:t xml:space="preserve"> </w:t>
      </w:r>
      <w:r w:rsidR="003655A2">
        <w:t>com habilitação ativa,</w:t>
      </w:r>
      <w:r w:rsidRPr="00B821A7">
        <w:t xml:space="preserve"> </w:t>
      </w:r>
      <w:r w:rsidR="003655A2" w:rsidRPr="003655A2">
        <w:t>ser sócio de pessoa jurídica que exerça atividade inerente ao Representante de Seguros</w:t>
      </w:r>
      <w:r w:rsidRPr="00B821A7">
        <w:t xml:space="preserve">. </w:t>
      </w:r>
    </w:p>
    <w:p w:rsidR="00C72BA4" w:rsidRPr="00C72BA4" w:rsidRDefault="00C72BA4" w:rsidP="00C72BA4">
      <w:pPr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</w:p>
    <w:p w:rsidR="00C72BA4" w:rsidRPr="00F361DE" w:rsidRDefault="0094486F" w:rsidP="00B67F35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F361DE">
        <w:rPr>
          <w:rFonts w:ascii="Times New Roman" w:hAnsi="Times New Roman"/>
          <w:b/>
          <w:szCs w:val="24"/>
        </w:rPr>
        <w:t>O Corretor de Seguros, pessoa natural, com habilitação ativa, poderá ser sócio de pessoa jurídica caracterizada como “assessoria de seguros”, que representa as Companhias de Seguros junto aos corretores de seguros?</w:t>
      </w:r>
    </w:p>
    <w:p w:rsidR="0094486F" w:rsidRDefault="0094486F" w:rsidP="0094486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</w:p>
    <w:p w:rsidR="003655A2" w:rsidRDefault="0094486F" w:rsidP="00F361DE">
      <w:pPr>
        <w:pStyle w:val="Default"/>
        <w:jc w:val="both"/>
      </w:pPr>
      <w:r>
        <w:t>Resposta:</w:t>
      </w:r>
      <w:r w:rsidR="003655A2" w:rsidRPr="003655A2">
        <w:t xml:space="preserve"> </w:t>
      </w:r>
      <w:r w:rsidR="00F361DE">
        <w:t>D</w:t>
      </w:r>
      <w:r w:rsidR="003655A2">
        <w:rPr>
          <w:szCs w:val="22"/>
        </w:rPr>
        <w:t>e acordo com o § 7º do artigo 1º</w:t>
      </w:r>
      <w:r w:rsidR="00F361DE" w:rsidRPr="00F361DE">
        <w:rPr>
          <w:szCs w:val="22"/>
        </w:rPr>
        <w:t xml:space="preserve"> </w:t>
      </w:r>
      <w:r w:rsidR="00F361DE">
        <w:rPr>
          <w:szCs w:val="22"/>
        </w:rPr>
        <w:t>da Resolução CNSP nº 297/2013</w:t>
      </w:r>
      <w:r w:rsidR="003655A2">
        <w:rPr>
          <w:szCs w:val="22"/>
        </w:rPr>
        <w:t xml:space="preserve">, </w:t>
      </w:r>
      <w:r w:rsidR="003655A2">
        <w:t xml:space="preserve">é vedado ao representante de seguros </w:t>
      </w:r>
      <w:r w:rsidR="003655A2" w:rsidRPr="00F43067">
        <w:rPr>
          <w:b/>
        </w:rPr>
        <w:t>o exercício da atividade de corretagem de seguros</w:t>
      </w:r>
      <w:r w:rsidR="003655A2">
        <w:t xml:space="preserve"> ou a atuação como estipulante ou subestipulante. Em consonância com o dispositivo acima mencionado, o §2º do artigo 18 dispõe que o representante de seguros de que trata o </w:t>
      </w:r>
      <w:r w:rsidR="003655A2" w:rsidRPr="009F5908">
        <w:rPr>
          <w:i/>
        </w:rPr>
        <w:t>caput</w:t>
      </w:r>
      <w:r w:rsidR="003655A2">
        <w:t xml:space="preserve"> do referido artigo não poderá promover a venda direta em nome da sociedade seguradora junto ao consumidor e </w:t>
      </w:r>
      <w:r w:rsidR="003655A2" w:rsidRPr="00C02B2E">
        <w:rPr>
          <w:b/>
        </w:rPr>
        <w:t>tampouco atuar como corretor de seguros</w:t>
      </w:r>
      <w:r w:rsidR="003655A2">
        <w:t>.</w:t>
      </w:r>
    </w:p>
    <w:p w:rsidR="003655A2" w:rsidRDefault="003655A2" w:rsidP="003655A2">
      <w:pPr>
        <w:pStyle w:val="Default"/>
        <w:ind w:firstLine="1418"/>
        <w:jc w:val="both"/>
      </w:pPr>
    </w:p>
    <w:p w:rsidR="003655A2" w:rsidRDefault="003655A2" w:rsidP="003655A2">
      <w:pPr>
        <w:pStyle w:val="Default"/>
        <w:ind w:firstLine="1418"/>
        <w:jc w:val="both"/>
      </w:pPr>
      <w:r>
        <w:t xml:space="preserve">Ainda com relação ao assunto, de acordo com o inciso II do artigo 21 da Circular SUSEP nº 429/2012, é vedado ao corretor de seguros manter relação de emprego, direção ou </w:t>
      </w:r>
      <w:r w:rsidRPr="00C02B2E">
        <w:rPr>
          <w:b/>
        </w:rPr>
        <w:t>representação</w:t>
      </w:r>
      <w:r>
        <w:t xml:space="preserve"> com sociedade seguradora, resseguradora, de capitalização ou entidade aberta de previdência complementar. </w:t>
      </w:r>
    </w:p>
    <w:p w:rsidR="003655A2" w:rsidRDefault="003655A2" w:rsidP="003655A2">
      <w:pPr>
        <w:pStyle w:val="Default"/>
        <w:ind w:firstLine="1418"/>
        <w:jc w:val="both"/>
      </w:pPr>
    </w:p>
    <w:p w:rsidR="0094486F" w:rsidRPr="003655A2" w:rsidRDefault="003655A2" w:rsidP="003655A2">
      <w:pPr>
        <w:pStyle w:val="Default"/>
        <w:ind w:firstLine="1418"/>
        <w:jc w:val="both"/>
      </w:pPr>
      <w:r w:rsidRPr="003655A2">
        <w:t>Sendo assim, é vedado ao corretor de seguros, pessoa natural, com habilitação ativa, ser sócio de pessoa jurídica caracterizada como “assessoria de seguros”.</w:t>
      </w:r>
    </w:p>
    <w:p w:rsidR="0094486F" w:rsidRDefault="0094486F" w:rsidP="0094486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4486F" w:rsidRPr="00F361DE" w:rsidRDefault="0094486F" w:rsidP="00B67F35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F361DE">
        <w:rPr>
          <w:rFonts w:ascii="Times New Roman" w:hAnsi="Times New Roman"/>
          <w:b/>
          <w:szCs w:val="24"/>
        </w:rPr>
        <w:t>O Corretor de Seguros, pessoa natural, com habilitação ativa, poderá figurar como funcionário, preposto, procurador ou administrador nomeado por pessoas jurídicas caracterizadas com</w:t>
      </w:r>
      <w:r w:rsidR="003655A2" w:rsidRPr="00F361DE">
        <w:rPr>
          <w:rFonts w:ascii="Times New Roman" w:hAnsi="Times New Roman"/>
          <w:b/>
          <w:szCs w:val="24"/>
        </w:rPr>
        <w:t>o</w:t>
      </w:r>
      <w:r w:rsidRPr="00F361DE">
        <w:rPr>
          <w:rFonts w:ascii="Times New Roman" w:hAnsi="Times New Roman"/>
          <w:b/>
          <w:szCs w:val="24"/>
        </w:rPr>
        <w:t xml:space="preserve"> “Representantes de Seguros e/ou Assessoria de Seguros?</w:t>
      </w:r>
    </w:p>
    <w:p w:rsidR="0094486F" w:rsidRDefault="0094486F" w:rsidP="0094486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</w:p>
    <w:p w:rsidR="0094486F" w:rsidRDefault="0094486F" w:rsidP="0094486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2EB2">
        <w:rPr>
          <w:rFonts w:ascii="Times New Roman" w:hAnsi="Times New Roman"/>
          <w:b/>
          <w:szCs w:val="24"/>
        </w:rPr>
        <w:t>Resposta:</w:t>
      </w:r>
      <w:r w:rsidR="009E171D">
        <w:rPr>
          <w:rFonts w:ascii="Times New Roman" w:hAnsi="Times New Roman"/>
          <w:szCs w:val="24"/>
        </w:rPr>
        <w:t xml:space="preserve"> </w:t>
      </w:r>
      <w:r w:rsidR="00F361DE">
        <w:rPr>
          <w:rFonts w:ascii="Times New Roman" w:hAnsi="Times New Roman"/>
          <w:szCs w:val="24"/>
        </w:rPr>
        <w:t>Co</w:t>
      </w:r>
      <w:r w:rsidR="00F72EB2">
        <w:rPr>
          <w:rFonts w:ascii="Times New Roman" w:hAnsi="Times New Roman"/>
          <w:szCs w:val="24"/>
        </w:rPr>
        <w:t>nsidera</w:t>
      </w:r>
      <w:r w:rsidR="00F361DE">
        <w:rPr>
          <w:rFonts w:ascii="Times New Roman" w:hAnsi="Times New Roman"/>
          <w:szCs w:val="24"/>
        </w:rPr>
        <w:t>ndo</w:t>
      </w:r>
      <w:r w:rsidR="00F72EB2">
        <w:rPr>
          <w:rFonts w:ascii="Times New Roman" w:hAnsi="Times New Roman"/>
          <w:szCs w:val="24"/>
        </w:rPr>
        <w:t xml:space="preserve"> que a resposta dada aos itens </w:t>
      </w:r>
      <w:r w:rsidR="00F361DE">
        <w:rPr>
          <w:rFonts w:ascii="Times New Roman" w:hAnsi="Times New Roman"/>
          <w:szCs w:val="24"/>
        </w:rPr>
        <w:t>anteriores</w:t>
      </w:r>
      <w:r w:rsidR="00F72EB2">
        <w:rPr>
          <w:rFonts w:ascii="Times New Roman" w:hAnsi="Times New Roman"/>
          <w:szCs w:val="24"/>
        </w:rPr>
        <w:t xml:space="preserve"> engloba o entendimento</w:t>
      </w:r>
      <w:r w:rsidR="00F361DE">
        <w:rPr>
          <w:rFonts w:ascii="Times New Roman" w:hAnsi="Times New Roman"/>
          <w:szCs w:val="24"/>
        </w:rPr>
        <w:t xml:space="preserve"> referente a este questionamento</w:t>
      </w:r>
      <w:r w:rsidR="00CB0CAF">
        <w:rPr>
          <w:rFonts w:ascii="Times New Roman" w:hAnsi="Times New Roman"/>
          <w:szCs w:val="24"/>
        </w:rPr>
        <w:t>, pode-se inferir</w:t>
      </w:r>
      <w:r w:rsidR="00F72EB2">
        <w:rPr>
          <w:rFonts w:ascii="Times New Roman" w:hAnsi="Times New Roman"/>
          <w:szCs w:val="24"/>
        </w:rPr>
        <w:t xml:space="preserve"> que o</w:t>
      </w:r>
      <w:r w:rsidR="00F72EB2" w:rsidRPr="00F72EB2">
        <w:rPr>
          <w:rFonts w:ascii="Times New Roman" w:hAnsi="Times New Roman"/>
          <w:szCs w:val="24"/>
        </w:rPr>
        <w:t xml:space="preserve"> Corretor</w:t>
      </w:r>
      <w:r w:rsidR="00F72EB2">
        <w:rPr>
          <w:rFonts w:ascii="Times New Roman" w:hAnsi="Times New Roman"/>
          <w:szCs w:val="24"/>
        </w:rPr>
        <w:t xml:space="preserve"> </w:t>
      </w:r>
      <w:r w:rsidR="00F72EB2" w:rsidRPr="00F72EB2">
        <w:rPr>
          <w:rFonts w:ascii="Times New Roman" w:hAnsi="Times New Roman"/>
          <w:szCs w:val="24"/>
        </w:rPr>
        <w:t xml:space="preserve">de Seguros, pessoa natural, com habilitação ativa, </w:t>
      </w:r>
      <w:r w:rsidR="00F72EB2" w:rsidRPr="00F72EB2">
        <w:rPr>
          <w:rFonts w:ascii="Times New Roman" w:hAnsi="Times New Roman"/>
          <w:b/>
          <w:szCs w:val="24"/>
        </w:rPr>
        <w:t>não</w:t>
      </w:r>
      <w:r w:rsidR="00F72EB2">
        <w:rPr>
          <w:rFonts w:ascii="Times New Roman" w:hAnsi="Times New Roman"/>
          <w:szCs w:val="24"/>
        </w:rPr>
        <w:t xml:space="preserve"> </w:t>
      </w:r>
      <w:r w:rsidR="00F72EB2" w:rsidRPr="00F72EB2">
        <w:rPr>
          <w:rFonts w:ascii="Times New Roman" w:hAnsi="Times New Roman"/>
          <w:szCs w:val="24"/>
        </w:rPr>
        <w:t>poderá figurar como funcionário, preposto, procurador ou administrador nomeado por pessoas jurídicas caracterizadas como “Representantes de Seguros e/ou Assessoria de Seguros</w:t>
      </w:r>
      <w:r w:rsidR="003313BB">
        <w:rPr>
          <w:rFonts w:ascii="Times New Roman" w:hAnsi="Times New Roman"/>
          <w:szCs w:val="24"/>
        </w:rPr>
        <w:t xml:space="preserve"> (</w:t>
      </w:r>
      <w:r w:rsidR="003313BB" w:rsidRPr="003313BB">
        <w:rPr>
          <w:rFonts w:ascii="Times New Roman" w:hAnsi="Times New Roman"/>
          <w:szCs w:val="24"/>
        </w:rPr>
        <w:t xml:space="preserve">§ 7º do artigo 1º </w:t>
      </w:r>
      <w:r w:rsidR="003313BB">
        <w:rPr>
          <w:rFonts w:ascii="Times New Roman" w:hAnsi="Times New Roman"/>
          <w:szCs w:val="24"/>
        </w:rPr>
        <w:t xml:space="preserve">c/c </w:t>
      </w:r>
      <w:r w:rsidR="003313BB" w:rsidRPr="003313BB">
        <w:rPr>
          <w:rFonts w:ascii="Times New Roman" w:hAnsi="Times New Roman"/>
          <w:szCs w:val="24"/>
        </w:rPr>
        <w:t>§2º do artigo 18</w:t>
      </w:r>
      <w:r w:rsidR="003313BB">
        <w:t xml:space="preserve"> </w:t>
      </w:r>
      <w:r w:rsidR="003313BB" w:rsidRPr="003313BB">
        <w:rPr>
          <w:rFonts w:ascii="Times New Roman" w:hAnsi="Times New Roman"/>
          <w:szCs w:val="24"/>
        </w:rPr>
        <w:t>da Resolução CNSP nº 297/2013</w:t>
      </w:r>
      <w:r w:rsidR="003313BB" w:rsidRPr="003313BB">
        <w:t xml:space="preserve"> </w:t>
      </w:r>
      <w:r w:rsidR="003313BB" w:rsidRPr="003313BB">
        <w:rPr>
          <w:rFonts w:ascii="Times New Roman" w:hAnsi="Times New Roman"/>
          <w:szCs w:val="24"/>
        </w:rPr>
        <w:t>c/c inciso II do artigo 21 da Circular SUSEP nº 429/2012</w:t>
      </w:r>
      <w:r w:rsidR="003313BB">
        <w:rPr>
          <w:rFonts w:ascii="Times New Roman" w:hAnsi="Times New Roman"/>
          <w:szCs w:val="24"/>
        </w:rPr>
        <w:t>)</w:t>
      </w:r>
      <w:r w:rsidR="00F72EB2">
        <w:rPr>
          <w:rFonts w:ascii="Times New Roman" w:hAnsi="Times New Roman"/>
          <w:szCs w:val="24"/>
        </w:rPr>
        <w:t>.</w:t>
      </w:r>
    </w:p>
    <w:p w:rsidR="0094486F" w:rsidRDefault="0094486F" w:rsidP="0094486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94486F" w:rsidRPr="00CB0CAF" w:rsidRDefault="00C4360C" w:rsidP="00B67F35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CB0CAF">
        <w:rPr>
          <w:rFonts w:ascii="Times New Roman" w:hAnsi="Times New Roman"/>
          <w:b/>
          <w:szCs w:val="24"/>
        </w:rPr>
        <w:lastRenderedPageBreak/>
        <w:t xml:space="preserve">Sócios de sociedades corretoras de seguros, que não sejam corretores, poderão ser sócios de pessoas jurídicas caracterizadas como “Representante de Seguros e/ou Assessoria de Seguros? </w:t>
      </w:r>
    </w:p>
    <w:p w:rsidR="0094486F" w:rsidRDefault="0094486F" w:rsidP="0094486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74435" w:rsidRDefault="00CB0CAF" w:rsidP="00E956CD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Resposta</w:t>
      </w:r>
      <w:r w:rsidR="0094486F" w:rsidRPr="00F72EB2">
        <w:rPr>
          <w:rFonts w:ascii="Times New Roman" w:hAnsi="Times New Roman"/>
          <w:b/>
          <w:szCs w:val="24"/>
        </w:rPr>
        <w:t>:</w:t>
      </w:r>
      <w:r w:rsidR="00786683" w:rsidRPr="00786683">
        <w:rPr>
          <w:szCs w:val="22"/>
        </w:rPr>
        <w:t xml:space="preserve"> </w:t>
      </w:r>
      <w:r w:rsidRPr="00CB0CAF">
        <w:rPr>
          <w:rFonts w:ascii="Times New Roman" w:hAnsi="Times New Roman"/>
          <w:szCs w:val="24"/>
        </w:rPr>
        <w:t>D</w:t>
      </w:r>
      <w:r w:rsidR="00E956CD" w:rsidRPr="00E956CD">
        <w:rPr>
          <w:rFonts w:ascii="Times New Roman" w:hAnsi="Times New Roman"/>
          <w:szCs w:val="24"/>
        </w:rPr>
        <w:t>e acordo com o § 7º do artigo 1º</w:t>
      </w:r>
      <w:r w:rsidRPr="00CB0CAF">
        <w:rPr>
          <w:rFonts w:ascii="Times New Roman" w:hAnsi="Times New Roman"/>
          <w:szCs w:val="24"/>
        </w:rPr>
        <w:t xml:space="preserve"> da Resolução CNSP nº 297/2013</w:t>
      </w:r>
      <w:r w:rsidR="00E956CD" w:rsidRPr="00E956CD">
        <w:rPr>
          <w:rFonts w:ascii="Times New Roman" w:hAnsi="Times New Roman"/>
          <w:szCs w:val="24"/>
        </w:rPr>
        <w:t>, é vedado ao representante de seguros o exercício da atividade de corretagem de seguros ou a atuação como estipulante ou subestipulante.</w:t>
      </w:r>
    </w:p>
    <w:p w:rsidR="00E64991" w:rsidRDefault="00E64991" w:rsidP="00E956CD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956CD" w:rsidRDefault="00913BA5" w:rsidP="00E956CD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</w:t>
      </w:r>
      <w:r w:rsidR="00574435" w:rsidRPr="00574435">
        <w:rPr>
          <w:rFonts w:ascii="Times New Roman" w:hAnsi="Times New Roman"/>
          <w:szCs w:val="24"/>
        </w:rPr>
        <w:t>inda com relação ao assunto,</w:t>
      </w:r>
      <w:r w:rsidR="00574435">
        <w:t xml:space="preserve"> </w:t>
      </w:r>
      <w:r w:rsidR="00E956CD" w:rsidRPr="00E956CD">
        <w:rPr>
          <w:rFonts w:ascii="Times New Roman" w:hAnsi="Times New Roman"/>
          <w:szCs w:val="24"/>
        </w:rPr>
        <w:t>de acordo com o inciso II e parágrafo único do artigo 21 da Circular SUSEP nº 429/2012, é vedado ao corretor de seguros e aos sócios, acionistas e administradores de sociedade corretora, manter relação de emprego, direção ou representação com sociedade seguradora, resseguradora, de capitalização ou entidade aberta de previdência complementar.</w:t>
      </w:r>
      <w:r w:rsidR="00E956CD">
        <w:rPr>
          <w:rFonts w:ascii="Times New Roman" w:hAnsi="Times New Roman"/>
          <w:szCs w:val="24"/>
        </w:rPr>
        <w:t xml:space="preserve"> Desta forma, </w:t>
      </w:r>
      <w:r w:rsidR="00574435">
        <w:rPr>
          <w:rFonts w:ascii="Times New Roman" w:hAnsi="Times New Roman"/>
          <w:szCs w:val="24"/>
        </w:rPr>
        <w:t>os s</w:t>
      </w:r>
      <w:r w:rsidR="00574435" w:rsidRPr="00574435">
        <w:rPr>
          <w:rFonts w:ascii="Times New Roman" w:hAnsi="Times New Roman"/>
          <w:szCs w:val="24"/>
        </w:rPr>
        <w:t xml:space="preserve">ócios de sociedades corretoras de seguros, que não sejam corretores, </w:t>
      </w:r>
      <w:r w:rsidR="00574435" w:rsidRPr="00574435">
        <w:rPr>
          <w:rFonts w:ascii="Times New Roman" w:hAnsi="Times New Roman"/>
          <w:b/>
          <w:szCs w:val="24"/>
        </w:rPr>
        <w:t>não</w:t>
      </w:r>
      <w:r w:rsidR="00574435">
        <w:rPr>
          <w:rFonts w:ascii="Times New Roman" w:hAnsi="Times New Roman"/>
          <w:szCs w:val="24"/>
        </w:rPr>
        <w:t xml:space="preserve"> </w:t>
      </w:r>
      <w:r w:rsidR="00574435" w:rsidRPr="00574435">
        <w:rPr>
          <w:rFonts w:ascii="Times New Roman" w:hAnsi="Times New Roman"/>
          <w:szCs w:val="24"/>
        </w:rPr>
        <w:t>poderão ser sócios de pessoas jurídicas caracterizadas como “Representante de Seguros e/ou Assessoria de Seguros</w:t>
      </w:r>
      <w:r w:rsidR="00574435">
        <w:rPr>
          <w:rFonts w:ascii="Times New Roman" w:hAnsi="Times New Roman"/>
          <w:szCs w:val="24"/>
        </w:rPr>
        <w:t>.</w:t>
      </w:r>
    </w:p>
    <w:p w:rsidR="00786683" w:rsidRDefault="00786683" w:rsidP="0094486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4360C" w:rsidRPr="00CB0CAF" w:rsidRDefault="00C4360C" w:rsidP="00B67F35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CB0CAF">
        <w:rPr>
          <w:rFonts w:ascii="Times New Roman" w:hAnsi="Times New Roman"/>
          <w:b/>
          <w:szCs w:val="24"/>
        </w:rPr>
        <w:t>É permitida a participação acionária ou administração comum (holding) entre sociedades corretoras de seguros e empresas correspondentes de seguros/assessorias de seguros?</w:t>
      </w:r>
    </w:p>
    <w:p w:rsidR="00C4360C" w:rsidRDefault="00C4360C" w:rsidP="00C4360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4360C" w:rsidRDefault="00CB0CAF" w:rsidP="00C4360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Resposta</w:t>
      </w:r>
      <w:r w:rsidR="00C4360C" w:rsidRPr="005458D1">
        <w:rPr>
          <w:rFonts w:ascii="Times New Roman" w:hAnsi="Times New Roman"/>
          <w:b/>
          <w:szCs w:val="24"/>
        </w:rPr>
        <w:t>:</w:t>
      </w:r>
      <w:r w:rsidR="009E171D">
        <w:rPr>
          <w:rFonts w:ascii="Times New Roman" w:hAnsi="Times New Roman"/>
          <w:szCs w:val="24"/>
        </w:rPr>
        <w:t xml:space="preserve"> </w:t>
      </w:r>
      <w:r w:rsidR="000A5EC3">
        <w:rPr>
          <w:rFonts w:ascii="Times New Roman" w:hAnsi="Times New Roman"/>
          <w:szCs w:val="24"/>
        </w:rPr>
        <w:t>considera</w:t>
      </w:r>
      <w:r>
        <w:rPr>
          <w:rFonts w:ascii="Times New Roman" w:hAnsi="Times New Roman"/>
          <w:szCs w:val="24"/>
        </w:rPr>
        <w:t>ndo</w:t>
      </w:r>
      <w:r w:rsidR="000A5EC3">
        <w:rPr>
          <w:rFonts w:ascii="Times New Roman" w:hAnsi="Times New Roman"/>
          <w:szCs w:val="24"/>
        </w:rPr>
        <w:t xml:space="preserve"> que a resposta dada aos itens </w:t>
      </w:r>
      <w:r>
        <w:rPr>
          <w:rFonts w:ascii="Times New Roman" w:hAnsi="Times New Roman"/>
          <w:szCs w:val="24"/>
        </w:rPr>
        <w:t>anteriores</w:t>
      </w:r>
      <w:r w:rsidR="000A5EC3">
        <w:rPr>
          <w:rFonts w:ascii="Times New Roman" w:hAnsi="Times New Roman"/>
          <w:szCs w:val="24"/>
        </w:rPr>
        <w:t xml:space="preserve"> engloba o entendimento </w:t>
      </w:r>
      <w:r>
        <w:rPr>
          <w:rFonts w:ascii="Times New Roman" w:hAnsi="Times New Roman"/>
          <w:szCs w:val="24"/>
        </w:rPr>
        <w:t>referente a este questionamento</w:t>
      </w:r>
      <w:r w:rsidR="000A5EC3">
        <w:rPr>
          <w:rFonts w:ascii="Times New Roman" w:hAnsi="Times New Roman"/>
          <w:szCs w:val="24"/>
        </w:rPr>
        <w:t>, podemos concluir que</w:t>
      </w:r>
      <w:r w:rsidR="005458D1" w:rsidRPr="005458D1">
        <w:rPr>
          <w:rFonts w:ascii="Times New Roman" w:hAnsi="Times New Roman"/>
          <w:i/>
          <w:szCs w:val="24"/>
        </w:rPr>
        <w:t xml:space="preserve"> </w:t>
      </w:r>
      <w:r w:rsidR="005458D1" w:rsidRPr="005458D1">
        <w:rPr>
          <w:rFonts w:ascii="Times New Roman" w:hAnsi="Times New Roman"/>
          <w:szCs w:val="24"/>
        </w:rPr>
        <w:t xml:space="preserve">é </w:t>
      </w:r>
      <w:r w:rsidR="005458D1" w:rsidRPr="005458D1">
        <w:rPr>
          <w:rFonts w:ascii="Times New Roman" w:hAnsi="Times New Roman"/>
          <w:b/>
          <w:szCs w:val="24"/>
        </w:rPr>
        <w:t>vedada</w:t>
      </w:r>
      <w:r w:rsidR="005458D1" w:rsidRPr="005458D1">
        <w:rPr>
          <w:rFonts w:ascii="Times New Roman" w:hAnsi="Times New Roman"/>
          <w:szCs w:val="24"/>
        </w:rPr>
        <w:t xml:space="preserve"> a participação acionária ou administração comum (holding) entre sociedades corretoras de seguros e empresas correspondentes de seguros/assessorias de seguros</w:t>
      </w:r>
      <w:r w:rsidR="005458D1">
        <w:rPr>
          <w:rFonts w:ascii="Times New Roman" w:hAnsi="Times New Roman"/>
          <w:szCs w:val="24"/>
        </w:rPr>
        <w:t>.</w:t>
      </w:r>
      <w:r w:rsidR="00402931" w:rsidRPr="00402931">
        <w:rPr>
          <w:rFonts w:ascii="Times New Roman" w:hAnsi="Times New Roman"/>
          <w:color w:val="FF0000"/>
          <w:szCs w:val="24"/>
        </w:rPr>
        <w:t xml:space="preserve"> </w:t>
      </w:r>
      <w:r w:rsidR="003313BB">
        <w:rPr>
          <w:rFonts w:ascii="Times New Roman" w:hAnsi="Times New Roman"/>
          <w:szCs w:val="24"/>
        </w:rPr>
        <w:t>(</w:t>
      </w:r>
      <w:r w:rsidR="003313BB" w:rsidRPr="003313BB">
        <w:rPr>
          <w:rFonts w:ascii="Times New Roman" w:hAnsi="Times New Roman"/>
          <w:szCs w:val="24"/>
        </w:rPr>
        <w:t xml:space="preserve">§ 7º do artigo 1º </w:t>
      </w:r>
      <w:r w:rsidR="003313BB">
        <w:rPr>
          <w:rFonts w:ascii="Times New Roman" w:hAnsi="Times New Roman"/>
          <w:szCs w:val="24"/>
        </w:rPr>
        <w:t xml:space="preserve">c/c </w:t>
      </w:r>
      <w:r w:rsidR="003313BB" w:rsidRPr="003313BB">
        <w:rPr>
          <w:rFonts w:ascii="Times New Roman" w:hAnsi="Times New Roman"/>
          <w:szCs w:val="24"/>
        </w:rPr>
        <w:t>§2º do artigo 18</w:t>
      </w:r>
      <w:r w:rsidR="003313BB">
        <w:t xml:space="preserve"> </w:t>
      </w:r>
      <w:r w:rsidR="003313BB" w:rsidRPr="003313BB">
        <w:rPr>
          <w:rFonts w:ascii="Times New Roman" w:hAnsi="Times New Roman"/>
          <w:szCs w:val="24"/>
        </w:rPr>
        <w:t>da Resolução CNSP nº 297/2013</w:t>
      </w:r>
      <w:r w:rsidR="003313BB" w:rsidRPr="003313BB">
        <w:t xml:space="preserve"> </w:t>
      </w:r>
      <w:r w:rsidR="003313BB" w:rsidRPr="003313BB">
        <w:rPr>
          <w:rFonts w:ascii="Times New Roman" w:hAnsi="Times New Roman"/>
          <w:szCs w:val="24"/>
        </w:rPr>
        <w:t>c/c inciso II do artigo 21 da Circular SUSEP nº 429/2012</w:t>
      </w:r>
      <w:r w:rsidR="003313BB">
        <w:rPr>
          <w:rFonts w:ascii="Times New Roman" w:hAnsi="Times New Roman"/>
          <w:szCs w:val="24"/>
        </w:rPr>
        <w:t>).</w:t>
      </w:r>
    </w:p>
    <w:p w:rsidR="0094486F" w:rsidRDefault="0094486F" w:rsidP="00C4360C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94486F" w:rsidSect="00E04729">
      <w:headerReference w:type="default" r:id="rId8"/>
      <w:footerReference w:type="default" r:id="rId9"/>
      <w:footerReference w:type="first" r:id="rId10"/>
      <w:type w:val="continuous"/>
      <w:pgSz w:w="11907" w:h="16840" w:code="9"/>
      <w:pgMar w:top="851" w:right="851" w:bottom="128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10" w:rsidRDefault="00DF7110">
      <w:r>
        <w:separator/>
      </w:r>
    </w:p>
  </w:endnote>
  <w:endnote w:type="continuationSeparator" w:id="0">
    <w:p w:rsidR="00DF7110" w:rsidRDefault="00DF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D8" w:rsidRDefault="000458D8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DC" w:rsidRDefault="00D45FDC" w:rsidP="00D45FDC">
    <w:pPr>
      <w:pStyle w:val="Rodap"/>
      <w:tabs>
        <w:tab w:val="clear" w:pos="4419"/>
        <w:tab w:val="clear" w:pos="8838"/>
        <w:tab w:val="left" w:pos="215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10" w:rsidRDefault="00DF7110">
      <w:r>
        <w:separator/>
      </w:r>
    </w:p>
  </w:footnote>
  <w:footnote w:type="continuationSeparator" w:id="0">
    <w:p w:rsidR="00DF7110" w:rsidRDefault="00DF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D8" w:rsidRDefault="000458D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9B7"/>
    <w:multiLevelType w:val="hybridMultilevel"/>
    <w:tmpl w:val="C0DE92A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16239B"/>
    <w:multiLevelType w:val="multilevel"/>
    <w:tmpl w:val="D186A5D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1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">
    <w:nsid w:val="2FF630AF"/>
    <w:multiLevelType w:val="hybridMultilevel"/>
    <w:tmpl w:val="3C92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6702"/>
    <w:multiLevelType w:val="hybridMultilevel"/>
    <w:tmpl w:val="123CDFDE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7171B"/>
    <w:multiLevelType w:val="hybridMultilevel"/>
    <w:tmpl w:val="3C92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248E"/>
    <w:multiLevelType w:val="hybridMultilevel"/>
    <w:tmpl w:val="251C16A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57A68DE"/>
    <w:multiLevelType w:val="hybridMultilevel"/>
    <w:tmpl w:val="B5483962"/>
    <w:lvl w:ilvl="0" w:tplc="1EC0EE7C">
      <w:start w:val="1"/>
      <w:numFmt w:val="bullet"/>
      <w:lvlText w:val="-"/>
      <w:lvlJc w:val="left"/>
      <w:pPr>
        <w:tabs>
          <w:tab w:val="num" w:pos="1748"/>
        </w:tabs>
        <w:ind w:left="174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68"/>
        </w:tabs>
        <w:ind w:left="6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88"/>
        </w:tabs>
        <w:ind w:left="67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08"/>
        </w:tabs>
        <w:ind w:left="7508" w:hanging="360"/>
      </w:pPr>
      <w:rPr>
        <w:rFonts w:ascii="Wingdings" w:hAnsi="Wingdings" w:hint="default"/>
      </w:rPr>
    </w:lvl>
  </w:abstractNum>
  <w:abstractNum w:abstractNumId="7">
    <w:nsid w:val="6AA22091"/>
    <w:multiLevelType w:val="hybridMultilevel"/>
    <w:tmpl w:val="C7D81EBC"/>
    <w:lvl w:ilvl="0" w:tplc="7D906F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A1"/>
    <w:rsid w:val="000025B4"/>
    <w:rsid w:val="00005FD8"/>
    <w:rsid w:val="000149F5"/>
    <w:rsid w:val="00024F22"/>
    <w:rsid w:val="000458D8"/>
    <w:rsid w:val="0007391E"/>
    <w:rsid w:val="00075700"/>
    <w:rsid w:val="00087176"/>
    <w:rsid w:val="000A5EC3"/>
    <w:rsid w:val="000B0F4C"/>
    <w:rsid w:val="000B7D5D"/>
    <w:rsid w:val="000C011F"/>
    <w:rsid w:val="000C74C4"/>
    <w:rsid w:val="00104FE2"/>
    <w:rsid w:val="001135BF"/>
    <w:rsid w:val="00133158"/>
    <w:rsid w:val="00134F81"/>
    <w:rsid w:val="0013532E"/>
    <w:rsid w:val="001431D1"/>
    <w:rsid w:val="0014494C"/>
    <w:rsid w:val="00190C88"/>
    <w:rsid w:val="00192B80"/>
    <w:rsid w:val="001978E8"/>
    <w:rsid w:val="001C62D4"/>
    <w:rsid w:val="0021734C"/>
    <w:rsid w:val="002819A1"/>
    <w:rsid w:val="00283AAB"/>
    <w:rsid w:val="002852E9"/>
    <w:rsid w:val="002A03E7"/>
    <w:rsid w:val="002B0C32"/>
    <w:rsid w:val="002B48AB"/>
    <w:rsid w:val="002E663A"/>
    <w:rsid w:val="00300A8E"/>
    <w:rsid w:val="003032C9"/>
    <w:rsid w:val="00306427"/>
    <w:rsid w:val="00322D31"/>
    <w:rsid w:val="003313BB"/>
    <w:rsid w:val="00342026"/>
    <w:rsid w:val="003655A2"/>
    <w:rsid w:val="003A3A20"/>
    <w:rsid w:val="003A3ED1"/>
    <w:rsid w:val="003B6BA0"/>
    <w:rsid w:val="003D2775"/>
    <w:rsid w:val="003D603F"/>
    <w:rsid w:val="003E1B33"/>
    <w:rsid w:val="003F086F"/>
    <w:rsid w:val="003F490D"/>
    <w:rsid w:val="003F4E35"/>
    <w:rsid w:val="00401A03"/>
    <w:rsid w:val="00402931"/>
    <w:rsid w:val="004069FE"/>
    <w:rsid w:val="00460A7E"/>
    <w:rsid w:val="004665F7"/>
    <w:rsid w:val="00470B00"/>
    <w:rsid w:val="00476383"/>
    <w:rsid w:val="004C3EF0"/>
    <w:rsid w:val="004E7636"/>
    <w:rsid w:val="00543F67"/>
    <w:rsid w:val="005458D1"/>
    <w:rsid w:val="00563E76"/>
    <w:rsid w:val="00570BB2"/>
    <w:rsid w:val="00574435"/>
    <w:rsid w:val="005B038D"/>
    <w:rsid w:val="005B07A9"/>
    <w:rsid w:val="005B0CE9"/>
    <w:rsid w:val="005B6A7D"/>
    <w:rsid w:val="005B6F08"/>
    <w:rsid w:val="005D2B52"/>
    <w:rsid w:val="005E2602"/>
    <w:rsid w:val="00645BA2"/>
    <w:rsid w:val="00653811"/>
    <w:rsid w:val="00653FBA"/>
    <w:rsid w:val="0067661D"/>
    <w:rsid w:val="006A1A61"/>
    <w:rsid w:val="006A54B6"/>
    <w:rsid w:val="006C3833"/>
    <w:rsid w:val="006D37BD"/>
    <w:rsid w:val="006D64B1"/>
    <w:rsid w:val="006D74D7"/>
    <w:rsid w:val="006F3598"/>
    <w:rsid w:val="007013EE"/>
    <w:rsid w:val="00710479"/>
    <w:rsid w:val="00786683"/>
    <w:rsid w:val="0079314A"/>
    <w:rsid w:val="007A3E61"/>
    <w:rsid w:val="007B3A28"/>
    <w:rsid w:val="007C1847"/>
    <w:rsid w:val="007D491B"/>
    <w:rsid w:val="00821175"/>
    <w:rsid w:val="00832B42"/>
    <w:rsid w:val="00876E6A"/>
    <w:rsid w:val="0088549F"/>
    <w:rsid w:val="008854DA"/>
    <w:rsid w:val="008975D4"/>
    <w:rsid w:val="008A20A4"/>
    <w:rsid w:val="008B4058"/>
    <w:rsid w:val="008C0329"/>
    <w:rsid w:val="008C73F7"/>
    <w:rsid w:val="008D302A"/>
    <w:rsid w:val="008D4C90"/>
    <w:rsid w:val="008D5275"/>
    <w:rsid w:val="008E4721"/>
    <w:rsid w:val="00913BA5"/>
    <w:rsid w:val="0094486F"/>
    <w:rsid w:val="00954A98"/>
    <w:rsid w:val="0096796F"/>
    <w:rsid w:val="00973E14"/>
    <w:rsid w:val="00982B33"/>
    <w:rsid w:val="009922F1"/>
    <w:rsid w:val="009B44E4"/>
    <w:rsid w:val="009C3144"/>
    <w:rsid w:val="009C5213"/>
    <w:rsid w:val="009C634E"/>
    <w:rsid w:val="009D6B7E"/>
    <w:rsid w:val="009E171D"/>
    <w:rsid w:val="009E1C29"/>
    <w:rsid w:val="009F1E4C"/>
    <w:rsid w:val="009F5908"/>
    <w:rsid w:val="00A063CD"/>
    <w:rsid w:val="00A309C3"/>
    <w:rsid w:val="00A7612E"/>
    <w:rsid w:val="00A813DE"/>
    <w:rsid w:val="00A842CE"/>
    <w:rsid w:val="00A87AE1"/>
    <w:rsid w:val="00A91D77"/>
    <w:rsid w:val="00AA2593"/>
    <w:rsid w:val="00AB5EAD"/>
    <w:rsid w:val="00AC0EA3"/>
    <w:rsid w:val="00AC1B89"/>
    <w:rsid w:val="00AE63AB"/>
    <w:rsid w:val="00AF139A"/>
    <w:rsid w:val="00B07A29"/>
    <w:rsid w:val="00B26393"/>
    <w:rsid w:val="00B3567F"/>
    <w:rsid w:val="00B523D8"/>
    <w:rsid w:val="00B67F35"/>
    <w:rsid w:val="00B70865"/>
    <w:rsid w:val="00B821A7"/>
    <w:rsid w:val="00B83FCA"/>
    <w:rsid w:val="00B85335"/>
    <w:rsid w:val="00B931F5"/>
    <w:rsid w:val="00BA49F1"/>
    <w:rsid w:val="00BB1E8A"/>
    <w:rsid w:val="00BD5400"/>
    <w:rsid w:val="00BE1AC5"/>
    <w:rsid w:val="00C00E6D"/>
    <w:rsid w:val="00C02B2E"/>
    <w:rsid w:val="00C142FB"/>
    <w:rsid w:val="00C4360C"/>
    <w:rsid w:val="00C52C8E"/>
    <w:rsid w:val="00C60435"/>
    <w:rsid w:val="00C72BA4"/>
    <w:rsid w:val="00CB0CAF"/>
    <w:rsid w:val="00CC0E9B"/>
    <w:rsid w:val="00CC448B"/>
    <w:rsid w:val="00CD3516"/>
    <w:rsid w:val="00CE2BC8"/>
    <w:rsid w:val="00D06934"/>
    <w:rsid w:val="00D15D94"/>
    <w:rsid w:val="00D45FDC"/>
    <w:rsid w:val="00D65273"/>
    <w:rsid w:val="00D7266B"/>
    <w:rsid w:val="00D95193"/>
    <w:rsid w:val="00DA691A"/>
    <w:rsid w:val="00DB4EB0"/>
    <w:rsid w:val="00DC0074"/>
    <w:rsid w:val="00DC226C"/>
    <w:rsid w:val="00DD1F22"/>
    <w:rsid w:val="00DF7110"/>
    <w:rsid w:val="00E04729"/>
    <w:rsid w:val="00E146AB"/>
    <w:rsid w:val="00E14E82"/>
    <w:rsid w:val="00E64991"/>
    <w:rsid w:val="00E77B34"/>
    <w:rsid w:val="00E956CD"/>
    <w:rsid w:val="00EA379F"/>
    <w:rsid w:val="00EB42A8"/>
    <w:rsid w:val="00EC2599"/>
    <w:rsid w:val="00ED3C47"/>
    <w:rsid w:val="00F03C0C"/>
    <w:rsid w:val="00F058A0"/>
    <w:rsid w:val="00F33A29"/>
    <w:rsid w:val="00F35F01"/>
    <w:rsid w:val="00F361DE"/>
    <w:rsid w:val="00F43067"/>
    <w:rsid w:val="00F72EB2"/>
    <w:rsid w:val="00F806E5"/>
    <w:rsid w:val="00FA2B89"/>
    <w:rsid w:val="00FC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-1701"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iCs/>
      <w:u w:val="single"/>
    </w:rPr>
  </w:style>
  <w:style w:type="paragraph" w:styleId="Ttulo7">
    <w:name w:val="heading 7"/>
    <w:basedOn w:val="Normal"/>
    <w:next w:val="Normal"/>
    <w:qFormat/>
    <w:pPr>
      <w:keepNext/>
      <w:spacing w:before="120" w:line="360" w:lineRule="auto"/>
      <w:outlineLvl w:val="6"/>
    </w:pPr>
    <w:rPr>
      <w:rFonts w:ascii="Times New Roman" w:hAnsi="Times New Roman"/>
      <w:i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120"/>
      <w:ind w:firstLine="1418"/>
    </w:pPr>
    <w:rPr>
      <w:rFonts w:ascii="Times New Roman" w:hAnsi="Times New Roman"/>
      <w:iCs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Recuodecorpodetexto2">
    <w:name w:val="Body Text Indent 2"/>
    <w:basedOn w:val="Normal"/>
    <w:semiHidden/>
    <w:pPr>
      <w:ind w:firstLine="1418"/>
      <w:jc w:val="both"/>
    </w:pPr>
    <w:rPr>
      <w:rFonts w:cs="Arial"/>
      <w:sz w:val="22"/>
      <w:szCs w:val="22"/>
    </w:rPr>
  </w:style>
  <w:style w:type="paragraph" w:styleId="Recuodecorpodetexto3">
    <w:name w:val="Body Text Indent 3"/>
    <w:basedOn w:val="Normal"/>
    <w:semiHidden/>
    <w:pPr>
      <w:ind w:firstLine="1418"/>
      <w:jc w:val="both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uiPriority w:val="59"/>
    <w:rsid w:val="00144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11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4886-3942-4608-BBA6-C7E2AF24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03</vt:lpstr>
    </vt:vector>
  </TitlesOfParts>
  <Company>SUSEP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03</dc:title>
  <dc:subject/>
  <dc:creator>LUC</dc:creator>
  <cp:keywords/>
  <cp:lastModifiedBy> </cp:lastModifiedBy>
  <cp:revision>2</cp:revision>
  <cp:lastPrinted>2014-02-04T15:18:00Z</cp:lastPrinted>
  <dcterms:created xsi:type="dcterms:W3CDTF">2014-03-12T15:27:00Z</dcterms:created>
  <dcterms:modified xsi:type="dcterms:W3CDTF">2014-03-12T15:27:00Z</dcterms:modified>
</cp:coreProperties>
</file>